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7166AE" w:rsidRPr="000D0919" w:rsidP="007166AE">
      <w:pPr>
        <w:ind w:left="540" w:right="1067"/>
        <w:rPr>
          <w:b/>
          <w:color w:val="AF272F"/>
          <w:sz w:val="36"/>
          <w:szCs w:val="44"/>
          <w:lang w:val="en-AU"/>
        </w:rPr>
      </w:pPr>
      <w:r w:rsidRPr="000D0919">
        <w:rPr>
          <w:b/>
          <w:color w:val="AF272F"/>
          <w:sz w:val="36"/>
          <w:szCs w:val="44"/>
          <w:lang w:val="en-AU"/>
        </w:rPr>
        <w:t xml:space="preserve">School Strategic Plan </w:t>
      </w:r>
      <w:r w:rsidRPr="000D0919">
        <w:rPr>
          <w:b/>
          <w:noProof/>
          <w:color w:val="AF272F"/>
          <w:sz w:val="36"/>
          <w:szCs w:val="44"/>
          <w:lang w:val="en-AU"/>
        </w:rPr>
        <w:t>2026-2030</w:t>
      </w:r>
    </w:p>
    <w:p w:rsidR="007166AE" w:rsidRPr="000D0919" w:rsidP="007166AE">
      <w:pPr>
        <w:pStyle w:val="ESIntroParagraph"/>
        <w:ind w:left="-567" w:right="1697" w:firstLine="1107"/>
        <w:rPr>
          <w:color w:val="595959" w:themeColor="text1" w:themeTint="A6"/>
          <w:lang w:val="en-AU"/>
        </w:rPr>
      </w:pPr>
      <w:r w:rsidRPr="000D0919">
        <w:rPr>
          <w:noProof/>
          <w:color w:val="595959" w:themeColor="text1" w:themeTint="A6"/>
          <w:lang w:val="en-AU"/>
        </w:rPr>
        <w:t>Monterey Secondary College (8809)</w:t>
      </w:r>
    </w:p>
    <w:p w:rsidR="007166AE" w:rsidRPr="000D0919" w:rsidP="007166AE">
      <w:pPr>
        <w:pStyle w:val="ESIntroParagraph"/>
        <w:ind w:left="-567" w:right="4330"/>
        <w:rPr>
          <w:lang w:val="en-AU"/>
        </w:rPr>
      </w:pPr>
    </w:p>
    <w:p w:rsidR="007166AE" w:rsidRPr="000D0919" w:rsidP="007166AE">
      <w:pPr>
        <w:pStyle w:val="Heading1"/>
        <w:ind w:left="-567"/>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rPr>
          <w:lang w:val="en-AU"/>
        </w:rPr>
      </w:pPr>
    </w:p>
    <w:p w:rsidR="007166AE" w:rsidRPr="000D0919" w:rsidP="007166AE">
      <w:pPr>
        <w:pStyle w:val="ESHeading2"/>
        <w:jc w:val="center"/>
        <w:rPr>
          <w:lang w:val="en-AU"/>
        </w:rPr>
      </w:pPr>
      <w:r w:rsidRPr="000D0919">
        <w:rPr>
          <w:b w:val="0"/>
          <w:noProof/>
          <w:sz w:val="44"/>
          <w:szCs w:val="44"/>
          <w:lang w:val="en-AU"/>
        </w:rPr>
        <w:drawing>
          <wp:anchor simplePos="0" relativeHeight="251658240" behindDoc="1" locked="0" layoutInCell="1" allowOverlap="1">
            <wp:simplePos x="0" y="0"/>
            <wp:positionH relativeFrom="page">
              <wp:align>center</wp:align>
            </wp:positionH>
            <wp:positionV relativeFrom="paragraph">
              <wp:posOffset>0</wp:posOffset>
            </wp:positionV>
            <wp:extent cx="3391373" cy="3810532"/>
            <wp:wrapNone/>
            <wp:docPr id="100027" name=""/>
            <wp:cNvGraphicFramePr/>
            <a:graphic xmlns:a="http://schemas.openxmlformats.org/drawingml/2006/main">
              <a:graphicData uri="http://schemas.openxmlformats.org/drawingml/2006/picture">
                <pic:pic xmlns:pic="http://schemas.openxmlformats.org/drawingml/2006/picture">
                  <pic:nvPicPr>
                    <pic:cNvPr id="100027" name=""/>
                    <pic:cNvPicPr/>
                  </pic:nvPicPr>
                  <pic:blipFill>
                    <a:blip xmlns:r="http://schemas.openxmlformats.org/officeDocument/2006/relationships" r:embed="rId9"/>
                    <a:stretch>
                      <a:fillRect/>
                    </a:stretch>
                  </pic:blipFill>
                  <pic:spPr>
                    <a:xfrm>
                      <a:off x="0" y="0"/>
                      <a:ext cx="3391373" cy="3810532"/>
                    </a:xfrm>
                    <a:prstGeom prst="rect">
                      <a:avLst/>
                    </a:prstGeom>
                  </pic:spPr>
                </pic:pic>
              </a:graphicData>
            </a:graphic>
          </wp:anchor>
        </w:drawing>
      </w:r>
    </w:p>
    <w:p w:rsidR="007166AE" w:rsidRPr="000D0919" w:rsidP="007166AE">
      <w:pPr>
        <w:pStyle w:val="ESBodyText"/>
        <w:rPr>
          <w:lang w:val="en-AU"/>
        </w:rPr>
        <w:sectPr w:rsidSect="008E169D">
          <w:headerReference w:type="even" r:id="rId10"/>
          <w:headerReference w:type="default" r:id="rId11"/>
          <w:footerReference w:type="even" r:id="rId12"/>
          <w:footerReference w:type="default" r:id="rId13"/>
          <w:headerReference w:type="first" r:id="rId14"/>
          <w:pgSz w:w="11906" w:h="16838" w:code="9"/>
          <w:pgMar w:top="1005" w:right="737" w:bottom="1304" w:left="562" w:header="624" w:footer="1134" w:gutter="0"/>
          <w:cols w:space="397"/>
          <w:docGrid w:linePitch="360"/>
        </w:sectPr>
      </w:pPr>
      <w:r w:rsidRPr="000D0919">
        <w:rPr>
          <w:rFonts w:ascii="Times New Roman" w:hAnsi="Times New Roman" w:cs="Times New Roman"/>
          <w:noProof/>
          <w:sz w:val="24"/>
          <w:szCs w:val="24"/>
          <w:lang w:val="en-AU" w:eastAsia="en-AU"/>
        </w:rPr>
        <mc:AlternateContent>
          <mc:Choice Requires="wps">
            <w:drawing>
              <wp:anchor distT="45720" distB="45720" distL="114300" distR="114300" simplePos="0" relativeHeight="251660288" behindDoc="1" locked="1" layoutInCell="1" allowOverlap="1">
                <wp:simplePos x="0" y="0"/>
                <wp:positionH relativeFrom="margin">
                  <wp:posOffset>100330</wp:posOffset>
                </wp:positionH>
                <wp:positionV relativeFrom="bottomMargin">
                  <wp:posOffset>-1260475</wp:posOffset>
                </wp:positionV>
                <wp:extent cx="9773920" cy="1134110"/>
                <wp:effectExtent l="0" t="0" r="0" b="8890"/>
                <wp:wrapNone/>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3920" cy="1134110"/>
                        </a:xfrm>
                        <a:prstGeom prst="rect">
                          <a:avLst/>
                        </a:prstGeom>
                        <a:solidFill>
                          <a:srgbClr val="FFFFFF"/>
                        </a:solidFill>
                        <a:ln w="9525">
                          <a:noFill/>
                          <a:miter lim="800000"/>
                          <a:headEnd/>
                          <a:tailEnd/>
                        </a:ln>
                      </wps:spPr>
                      <wps:txbx>
                        <w:txbxContent>
                          <w:p w:rsidR="007166AE" w:rsidP="007166AE">
                            <w:pPr>
                              <w:pStyle w:val="ESBodyText"/>
                            </w:pPr>
                            <w:r>
                              <w:rPr>
                                <w:noProof/>
                              </w:rPr>
                              <w:t>Submitted for review by Bryan Field (School Principal) on 06 May, 2026 at 12:12 PM</w:t>
                              <w:br/>
                              <w:t>Endorsed by Debby Chaves (Senior Education Improvement Leader) on 13 May, 2026 at 03:15 PM</w:t>
                              <w:br/>
                              <w:t>Awaiting endorsement by School Council President</w:t>
                              <w:br/>
                            </w:r>
                          </w:p>
                        </w:txbxContent>
                      </wps:txbx>
                      <wps:bodyPr rot="0" vert="horz" wrap="square" anchor="t" anchorCtr="0"/>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height:89.3pt;margin-left:7.9pt;margin-top:-99.25pt;mso-height-percent:0;mso-height-relative:margin;mso-position-horizontal-relative:margin;mso-position-vertical-relative:bottom-margin-area;mso-width-percent:0;mso-width-relative:margin;mso-wrap-distance-bottom:3.6pt;mso-wrap-distance-left:9pt;mso-wrap-distance-right:9pt;mso-wrap-distance-top:3.6pt;position:absolute;width:769.6pt;z-index:-251657216" fillcolor="white" stroked="f" strokeweight="0.75pt">
                <v:stroke joinstyle="miter"/>
                <v:textbox>
                  <w:txbxContent>
                    <w:p w:rsidR="007166AE" w:rsidP="007166AE">
                      <w:pPr>
                        <w:pStyle w:val="ESBodyText"/>
                      </w:pPr>
                      <w:r>
                        <w:rPr>
                          <w:noProof/>
                        </w:rPr>
                        <w:t>Submitted for review by Bryan Field (School Principal) on 06 May, 2026 at 12:12 PM</w:t>
                        <w:br/>
                        <w:t>Endorsed by Debby Chaves (Senior Education Improvement Leader) on 13 May, 2026 at 03:15 PM</w:t>
                        <w:br/>
                        <w:t>Awaiting endorsement by School Council President</w:t>
                        <w:br/>
                      </w:r>
                    </w:p>
                  </w:txbxContent>
                </v:textbox>
                <w10:wrap anchorx="margin"/>
                <w10:anchorlock/>
              </v:shape>
            </w:pict>
          </mc:Fallback>
        </mc:AlternateContent>
      </w: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2026-2030</w:t>
      </w:r>
    </w:p>
    <w:p w:rsidR="007166AE" w:rsidRPr="000D0919" w:rsidP="007166AE">
      <w:pPr>
        <w:pStyle w:val="ESIntroParagraph"/>
        <w:spacing w:after="120"/>
        <w:ind w:left="-539" w:right="-635" w:firstLine="27"/>
        <w:rPr>
          <w:color w:val="595959" w:themeColor="text1" w:themeTint="A6"/>
          <w:lang w:val="en-AU"/>
        </w:rPr>
      </w:pPr>
      <w:r w:rsidRPr="000D0919">
        <w:rPr>
          <w:noProof/>
          <w:color w:val="595959" w:themeColor="text1" w:themeTint="A6"/>
          <w:lang w:val="en-AU"/>
        </w:rPr>
        <w:t>Monterey Secondary College (8809)</w:t>
      </w:r>
    </w:p>
    <w:p w:rsidR="007166AE" w:rsidRPr="000D0919" w:rsidP="007166AE">
      <w:pPr>
        <w:pStyle w:val="ESIntroParagraph"/>
        <w:ind w:right="1708"/>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3119"/>
        <w:gridCol w:w="11996"/>
      </w:tblGrid>
      <w:tr w:rsidTr="009B10A5">
        <w:tblPrEx>
          <w:tblW w:w="15115" w:type="dxa"/>
          <w:tblInd w:w="-450" w:type="dxa"/>
          <w:tblCellMar>
            <w:top w:w="115" w:type="dxa"/>
            <w:left w:w="115" w:type="dxa"/>
            <w:bottom w:w="115" w:type="dxa"/>
            <w:right w:w="115" w:type="dxa"/>
          </w:tblCellMar>
          <w:tblLook w:val="04A0"/>
        </w:tblPrEx>
        <w:trPr>
          <w:trHeight w:val="110"/>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vision</w:t>
            </w:r>
          </w:p>
        </w:tc>
        <w:tc>
          <w:tcPr>
            <w:tcW w:w="11996" w:type="dxa"/>
            <w:shd w:val="clear" w:color="auto" w:fill="FFFFFF" w:themeFill="background1"/>
            <w:noWrap w:val="0"/>
          </w:tcPr>
          <w:p w:rsidR="007166AE" w:rsidRPr="000D0919" w:rsidP="009B10A5">
            <w:pPr>
              <w:pStyle w:val="ESBodyText"/>
              <w:spacing w:after="0"/>
              <w:rPr>
                <w:color w:val="FFFFFF" w:themeColor="background1"/>
                <w:sz w:val="20"/>
                <w:szCs w:val="24"/>
                <w:lang w:val="en-AU"/>
              </w:rPr>
            </w:pPr>
            <w:r>
              <w:rPr>
                <w:rFonts w:ascii="Arial" w:eastAsia="Arial" w:hAnsi="Arial" w:cs="Arial"/>
                <w:sz w:val="22"/>
              </w:rPr>
              <w:t>Monterey Secondary College is an inclusive community hub where every learner is challenged to achieve excellence, build confidence, and shape a successful future.</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School values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At our school, we commit to Being Safe, Being a Learner, and Being Respectful so that every learner is empowered to grow in connection, competency, and autonomy within a strong, inclusive, and supportive community.</w:t>
              <w:br/>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Context challenges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Inexperienced workforce and building capability</w:t>
              <w:br/>
              <w:t>The school has a committed and enthusiastic staff profile, with many teachers early in their careers or developing experience within the profession. This creates strong energy and openness to improvement, while also requiring significant investment in induction, coaching, and professional learning. Continued growth in capability is needed to embed VTLM 2.0, particularly in curriculum planning, assessment and data literacy, explicit teaching practice, differentiation, and the consistent use of evidence to inform teaching. Sustaining workforce development and leadership capacity will remain critical to improving student outcomes.</w:t>
              <w:br/>
              <w:br/>
              <w:t>Student attendance as a barrier to learning</w:t>
              <w:br/>
              <w:t>Low student attendance has presented an ongoing challenge and remains a significant barrier to academic growth, wellbeing, and pathway success. Irregular attendance reduces continuity of learning, connection to peers and staff, and opportunities to develop routines that support success. While this has been a longstanding challenge, the school has implemented targeted strategies and early intervention processes to improve attendance, strengthen family engagement, and re-engage students at risk of disengagement. Continued improvement in attendance is a central priority for the next phase of school improvement.</w:t>
              <w:br/>
              <w:br/>
              <w:t>Students impacted by trauma and complex disadvantage</w:t>
              <w:br/>
              <w:t>A number of students have experienced trauma, adversity, or complex life circumstances that can affect emotional regulation, relationships, concentration, and readiness to learn. These experiences may present as disengagement, inconsistent attendance, behavioural dysregulation, or difficulty persisting with learning tasks. This context requires the school to sustain a strong trauma-informed approach that prioritises safety, predictability, connection, and high support alongside high expectations. Supporting students to engage successfully in learning remains both a challenge and a key priority.</w:t>
              <w:br/>
              <w:br/>
              <w:t>Rapid growth creating structural and facility pressures</w:t>
              <w:br/>
              <w:t>The school has experienced rapid enrolment growth, reflecting increased community confidence and demand. While positive, this growth has created structural pressures including limited office space, increased demand on classrooms, shared learning spaces, and pressure on operational systems. Growth also requires ongoing review of staffing structures, timetabling, student supports, and resource allocation to ensure the school environment remains orderly, safe, and conducive to learning. Managing growth effectively will be important to sustaining improvement.</w:t>
              <w:br/>
              <w:br/>
              <w:t>Managed deficit and resource implications</w:t>
              <w:br/>
              <w:t>The school has worked strategically to reduce a significant inherited budget deficit while maintaining core programs and supports for students. Although strong progress has been made, financial constraints have required careful prioritisation of staffing, programs, and operational expenditure. Deficit management can limit flexibility to respond quickly to emerging needs, invest in facilities, or expand targeted initiatives. Continued responsible financial management will be essential to ensure long-term sustainability while progressing strategic priorities.</w:t>
            </w:r>
          </w:p>
        </w:tc>
      </w:tr>
      <w:tr w:rsidTr="009B10A5">
        <w:tblPrEx>
          <w:tblW w:w="15115" w:type="dxa"/>
          <w:tblInd w:w="-450" w:type="dxa"/>
          <w:tblCellMar>
            <w:top w:w="115" w:type="dxa"/>
            <w:left w:w="115" w:type="dxa"/>
            <w:bottom w:w="115" w:type="dxa"/>
            <w:right w:w="115" w:type="dxa"/>
          </w:tblCellMar>
          <w:tblLook w:val="04A0"/>
        </w:tblPrEx>
        <w:trPr>
          <w:trHeight w:val="15"/>
        </w:trPr>
        <w:tc>
          <w:tcPr>
            <w:tcW w:w="3119" w:type="dxa"/>
            <w:shd w:val="clear" w:color="auto" w:fill="D9D9D9" w:themeFill="background1" w:themeFillShade="D9"/>
          </w:tcPr>
          <w:p w:rsidR="007166AE" w:rsidRPr="000D0919" w:rsidP="009B10A5">
            <w:pPr>
              <w:pStyle w:val="Heading3"/>
              <w:spacing w:before="0" w:after="0"/>
              <w:rPr>
                <w:sz w:val="22"/>
                <w:szCs w:val="22"/>
                <w:lang w:val="en-AU"/>
              </w:rPr>
            </w:pPr>
            <w:r w:rsidRPr="000D0919">
              <w:rPr>
                <w:sz w:val="22"/>
                <w:szCs w:val="22"/>
                <w:lang w:val="en-AU"/>
              </w:rPr>
              <w:t>Intent, rationale and focus</w:t>
            </w:r>
          </w:p>
        </w:tc>
        <w:tc>
          <w:tcPr>
            <w:tcW w:w="11996" w:type="dxa"/>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What is your school trying to achieve? (Intent)</w:t>
              <w:br/>
              <w:t>Our school is seeking to improve student attendance, engagement, and academic outcomes while sustaining our whole-school trauma-informed approach. We want every student to feel safe, connected, and supported to achieve success in learning and future pathways. Our goal is to build aspirational learners through high expectations, strong relationships, and quality teaching.</w:t>
              <w:br/>
              <w:br/>
              <w:t>Why is this important? (Rationale)</w:t>
              <w:br/>
              <w:t>Attendance and academic success are strongly linked to wellbeing, confidence, and life opportunities beyond school. In our context, some students face significant barriers to engagement, so we must address both learning growth and the conditions that enable students to participate. Maintaining a trauma-informed approach is essential to ensure students experience safety, belonging, and readiness to learn.</w:t>
              <w:br/>
              <w:br/>
              <w:t>What are you prioritising? How will the Strategic Plan unfold over 4 years? (Focus)</w:t>
              <w:br/>
              <w:t>Across the four years, we will prioritise improving attendance, strengthening literacy and numeracy outcomes, and embedding consistent high-quality teaching through VTLM 2.0. We will continue to strengthen trauma-informed practices, targeted supports, and student pathways. Over time, the focus will shift from building strong foundations, to accelerating achievement, and then sustaining excellence through leadership capacity and continuous improvement.</w:t>
            </w:r>
          </w:p>
        </w:tc>
      </w:tr>
    </w:tbl>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4"/>
          <w:szCs w:val="24"/>
          <w:lang w:val="en-AU"/>
        </w:rPr>
      </w:pPr>
    </w:p>
    <w:p w:rsidR="007166AE" w:rsidRPr="000D0919" w:rsidP="007166AE">
      <w:pPr>
        <w:pStyle w:val="ESIntroParagraph"/>
        <w:ind w:left="-567" w:right="1708" w:firstLine="27"/>
        <w:rPr>
          <w:color w:val="595959" w:themeColor="text1" w:themeTint="A6"/>
          <w:sz w:val="20"/>
          <w:szCs w:val="20"/>
          <w:lang w:val="en-AU"/>
        </w:rPr>
      </w:pPr>
    </w:p>
    <w:p w:rsidR="007166AE" w:rsidRPr="000D0919" w:rsidP="007166AE">
      <w:pPr>
        <w:pStyle w:val="ESIntroParagraph"/>
        <w:ind w:right="1708"/>
        <w:rPr>
          <w:color w:val="595959" w:themeColor="text1" w:themeTint="A6"/>
          <w:lang w:val="en-AU"/>
        </w:rPr>
        <w:sectPr w:rsidSect="008E169D">
          <w:headerReference w:type="even" r:id="rId15"/>
          <w:headerReference w:type="default" r:id="rId16"/>
          <w:footerReference w:type="default" r:id="rId17"/>
          <w:headerReference w:type="first" r:id="rId18"/>
          <w:pgSz w:w="16838" w:h="11906" w:orient="landscape" w:code="9"/>
          <w:pgMar w:top="1304" w:right="2036" w:bottom="1240" w:left="1304" w:header="624" w:footer="532" w:gutter="0"/>
          <w:pgNumType w:start="2"/>
          <w:cols w:space="397"/>
          <w:docGrid w:linePitch="360"/>
        </w:sectPr>
      </w:pPr>
    </w:p>
    <w:p w:rsidR="007166AE" w:rsidRPr="000D0919" w:rsidP="007166AE">
      <w:pPr>
        <w:ind w:left="-540" w:right="-632"/>
        <w:rPr>
          <w:b/>
          <w:color w:val="AF272F"/>
          <w:sz w:val="36"/>
          <w:szCs w:val="44"/>
          <w:lang w:val="en-AU"/>
        </w:rPr>
      </w:pPr>
      <w:r w:rsidRPr="000D0919">
        <w:rPr>
          <w:b/>
          <w:color w:val="AF272F"/>
          <w:sz w:val="36"/>
          <w:szCs w:val="44"/>
          <w:lang w:val="en-AU"/>
        </w:rPr>
        <w:t xml:space="preserve">School Strategic Plan - </w:t>
      </w:r>
      <w:r w:rsidRPr="000D0919">
        <w:rPr>
          <w:b/>
          <w:noProof/>
          <w:color w:val="AF272F"/>
          <w:sz w:val="36"/>
          <w:szCs w:val="44"/>
          <w:lang w:val="en-AU"/>
        </w:rPr>
        <w:t>2026-2030</w:t>
      </w:r>
    </w:p>
    <w:p w:rsidR="007166AE" w:rsidRPr="000D0919" w:rsidP="007166AE">
      <w:pPr>
        <w:ind w:left="-540" w:right="-632"/>
        <w:rPr>
          <w:color w:val="595959" w:themeColor="text1" w:themeTint="A6"/>
          <w:sz w:val="28"/>
          <w:szCs w:val="28"/>
          <w:lang w:val="en-AU"/>
        </w:rPr>
      </w:pPr>
      <w:r w:rsidRPr="000D0919">
        <w:rPr>
          <w:noProof/>
          <w:color w:val="595959" w:themeColor="text1" w:themeTint="A6"/>
          <w:sz w:val="28"/>
          <w:szCs w:val="28"/>
          <w:lang w:val="en-AU"/>
        </w:rPr>
        <w:t>Monterey Secondary College (8809)</w:t>
      </w:r>
    </w:p>
    <w:p w:rsidR="007166AE" w:rsidRPr="000D0919" w:rsidP="007166AE">
      <w:pPr>
        <w:pStyle w:val="ESIntroParagraph"/>
        <w:ind w:left="-567" w:right="1708" w:firstLine="27"/>
        <w:rPr>
          <w:color w:val="595959" w:themeColor="text1" w:themeTint="A6"/>
          <w:lang w:val="en-AU"/>
        </w:rPr>
      </w:pPr>
    </w:p>
    <w:tbl>
      <w:tblPr>
        <w:tblStyle w:val="TableGrid"/>
        <w:tblW w:w="15115" w:type="dxa"/>
        <w:tblInd w:w="-450" w:type="dxa"/>
        <w:tblCellMar>
          <w:top w:w="115" w:type="dxa"/>
          <w:left w:w="115" w:type="dxa"/>
          <w:bottom w:w="115" w:type="dxa"/>
          <w:right w:w="115" w:type="dxa"/>
        </w:tblCellMar>
        <w:tblLook w:val="04A0"/>
      </w:tblPr>
      <w:tblGrid>
        <w:gridCol w:w="4055"/>
        <w:gridCol w:w="11060"/>
      </w:tblGrid>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1</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student learning outcomes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leadership structures, roles and responsibilities to enhance collaboration and high performing teams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1.a</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8BFBD"/>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Documented teaching and learning program based on the Victorian Curriculum and senior secondary pathways, incorporating extra-curricula programs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Build staff capability to effectively enact the curriculum and consistently apply agreed whole school teaching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1.b</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57B5E7"/>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Systematic use of assessment strategies and measurement practices to obtain and provide feedback on student learning growth, attainment and wellbeing capabilities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Develop staff data literacy and strengthen reliable use of assessments to improve student learning growth and differentiation</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1.c</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1.1</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increase the percentage of students achieving Strong and Exceeding NAPLAN proficiency levels for: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Reading and Viewing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44%</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53%</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Writing </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38%</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2025 </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46% </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32%</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46%</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1.2</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decrease the percentage of students achieving Needs Additional Support NAPLAN proficiency levels for: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26%</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16%</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23%</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14%</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33%</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22%</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1.3</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increase the percentage of students making medium and high benchmark growth in NAPLAN for: </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9</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Numeracy</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202X</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r>
          </w:tbl>
          <w:p>
            <w:pPr>
              <w:rPr>
                <w:rStyle w:val="DefaultParagraphFont"/>
                <w:rFonts w:ascii="Arial" w:eastAsia="Arial" w:hAnsi="Arial" w:cs="Arial"/>
                <w:b w:val="0"/>
                <w:sz w:val="22"/>
                <w:szCs w:val="22"/>
              </w:rPr>
            </w:pPr>
            <w:r>
              <w:rPr>
                <w:rStyle w:val="DefaultParagraphFont"/>
                <w:rFonts w:ascii="Arial" w:eastAsia="Arial" w:hAnsi="Arial" w:cs="Arial"/>
                <w:b w:val="0"/>
                <w:sz w:val="22"/>
              </w:rPr>
              <w:t xml:space="preserve">* </w:t>
            </w:r>
            <w:r>
              <w:rPr>
                <w:rStyle w:val="DefaultParagraphFont"/>
                <w:rFonts w:ascii="Arial" w:eastAsia="Arial" w:hAnsi="Arial" w:cs="Arial"/>
                <w:b/>
                <w:bCs/>
                <w:sz w:val="22"/>
              </w:rPr>
              <w:t>Target placeholder to measure NAPLAN benchmark learning growth from when data are available.</w:t>
            </w:r>
          </w:p>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1.4</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 xml:space="preserve">By 2030, </w:t>
                  </w:r>
                  <w:r>
                    <w:rPr>
                      <w:rStyle w:val="DefaultParagraphFont"/>
                      <w:rFonts w:ascii="Arial" w:eastAsia="Arial" w:hAnsi="Arial" w:cs="Arial"/>
                      <w:b/>
                      <w:bCs/>
                      <w:color w:val="000000"/>
                      <w:sz w:val="22"/>
                    </w:rPr>
                    <w:t>increase the mean VCE study scores</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English</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20.6</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26 or above</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General Mathematics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25.6</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26 or above</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1.5</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 xml:space="preserve">By 2030, </w:t>
                  </w:r>
                  <w:r>
                    <w:rPr>
                      <w:rStyle w:val="DefaultParagraphFont"/>
                      <w:rFonts w:ascii="Arial" w:eastAsia="Arial" w:hAnsi="Arial" w:cs="Arial"/>
                      <w:b/>
                      <w:bCs/>
                      <w:color w:val="000000"/>
                      <w:sz w:val="22"/>
                    </w:rPr>
                    <w:t>maintain the percentage of students completing VCE/VM and VET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VCE</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VCE/VM</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VET/VPC</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Completion rate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100%</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1.6</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90"/>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6"/>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improve the percentage of students achieving at and above age expected growth according to teacher judgements, against the Victorian Curriculum for:</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Reading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51%</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61%</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Writing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56%</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61%</w:t>
                  </w:r>
                </w:p>
              </w:tc>
            </w:tr>
            <w:tr>
              <w:tblPrEx>
                <w:tblCellSpacing w:w="15" w:type="dxa"/>
                <w:tblCellMar>
                  <w:top w:w="15" w:type="dxa"/>
                  <w:left w:w="15" w:type="dxa"/>
                  <w:bottom w:w="15" w:type="dxa"/>
                  <w:right w:w="15" w:type="dxa"/>
                </w:tblCellMar>
              </w:tblPrEx>
              <w:trPr>
                <w:tblCellSpacing w:w="15" w:type="dxa"/>
              </w:trPr>
              <w:tc>
                <w:tcPr>
                  <w:tcW w:w="6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 </w:t>
                  </w:r>
                </w:p>
              </w:tc>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7-10</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Mathematics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2026</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XX%</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1.7</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29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6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 xml:space="preserve">By 2030, maintain </w:t>
                  </w:r>
                  <w:r>
                    <w:rPr>
                      <w:rStyle w:val="DefaultParagraphFont"/>
                      <w:rFonts w:ascii="Arial" w:eastAsia="Arial" w:hAnsi="Arial" w:cs="Arial"/>
                      <w:b/>
                      <w:bCs/>
                      <w:color w:val="000000"/>
                      <w:sz w:val="22"/>
                    </w:rPr>
                    <w:t>the percentage of positive endorsement for the Attitudes to School Survey factor</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7-12</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Stimulated learning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68%</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68%</w:t>
                  </w:r>
                </w:p>
              </w:tc>
            </w:tr>
            <w:tr>
              <w:tblPrEx>
                <w:tblCellSpacing w:w="15" w:type="dxa"/>
                <w:tblCellMar>
                  <w:top w:w="15" w:type="dxa"/>
                  <w:left w:w="15" w:type="dxa"/>
                  <w:bottom w:w="15" w:type="dxa"/>
                  <w:right w:w="15" w:type="dxa"/>
                </w:tblCellMar>
              </w:tblPrEx>
              <w:trPr>
                <w:tblCellSpacing w:w="15" w:type="dxa"/>
              </w:trPr>
              <w:tc>
                <w:tcPr>
                  <w:tcW w:w="226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Male 7-12</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Stimulated learning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64%</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64%</w:t>
                  </w:r>
                </w:p>
              </w:tc>
            </w:tr>
          </w:tbl>
          <w:p>
            <w:pPr>
              <w:rPr>
                <w:rStyle w:val="DefaultParagraphFont"/>
                <w:rFonts w:ascii="Arial" w:eastAsia="Arial" w:hAnsi="Arial" w:cs="Arial"/>
                <w:b w:val="0"/>
                <w:sz w:val="22"/>
                <w:szCs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 w:val="24"/>
                <w:szCs w:val="24"/>
                <w:lang w:val="en-AU"/>
              </w:rPr>
            </w:pPr>
            <w:r w:rsidRPr="000D0919">
              <w:rPr>
                <w:rFonts w:ascii="Arial" w:eastAsia="Arial" w:hAnsi="Arial" w:cs="Arial"/>
                <w:b/>
                <w:sz w:val="24"/>
                <w:szCs w:val="24"/>
                <w:lang w:val="en-AU"/>
              </w:rPr>
              <w:t>Goal 2</w:t>
            </w:r>
          </w:p>
        </w:tc>
        <w:tc>
          <w:tcPr>
            <w:tcW w:w="11060" w:type="dxa"/>
            <w:shd w:val="clear" w:color="auto" w:fill="FFFFFF" w:themeFill="background1"/>
          </w:tcPr>
          <w:p w:rsidR="007166AE" w:rsidRPr="000D0919" w:rsidP="009B10A5">
            <w:pPr>
              <w:pStyle w:val="ESBodyText"/>
              <w:spacing w:after="0"/>
              <w:rPr>
                <w:rFonts w:ascii="Arial" w:eastAsia="Arial" w:hAnsi="Arial" w:cs="Arial"/>
                <w:b w:val="0"/>
                <w:color w:val="auto"/>
                <w:sz w:val="22"/>
                <w:szCs w:val="24"/>
                <w:lang w:val="en-AU"/>
              </w:rPr>
            </w:pPr>
            <w:r w:rsidRPr="000D0919">
              <w:rPr>
                <w:rStyle w:val="DefaultParagraphFont"/>
                <w:rFonts w:ascii="Arial" w:eastAsia="Arial" w:hAnsi="Arial" w:cs="Arial"/>
                <w:b w:val="0"/>
                <w:color w:val="auto"/>
                <w:sz w:val="22"/>
                <w:szCs w:val="24"/>
              </w:rPr>
              <w:t>Improve student wellbeing outcomes</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Refine and embed the school’s multi-tiered systems of support to maximise engagement, wellbeing and inclusion of all students</w:t>
              <w:br/>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2.a</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implementation of feedback and reflective strategies to empower students to be active agents in their learning and wellbeing</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2.b</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2ACD0"/>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Responsive, tiered and contextualised approaches and strong relationships to support student learning, wellbeing and inclusion </w:t>
            </w:r>
          </w:p>
        </w:tc>
        <w:tc>
          <w:tcPr>
            <w:tcW w:w="11060" w:type="dxa"/>
            <w:vMerge w:val="restart"/>
            <w:shd w:val="clear" w:color="auto" w:fill="FFFFFF" w:themeFill="background1"/>
            <w:noWrap w:val="0"/>
          </w:tcPr>
          <w:p w:rsidR="007166AE" w:rsidRPr="000D0919" w:rsidP="009B10A5">
            <w:pPr>
              <w:pStyle w:val="ESBodyText"/>
              <w:spacing w:after="0"/>
              <w:rPr>
                <w:sz w:val="20"/>
                <w:szCs w:val="24"/>
                <w:lang w:val="en-AU"/>
              </w:rPr>
            </w:pPr>
            <w:r>
              <w:rPr>
                <w:rFonts w:ascii="Arial" w:eastAsia="Arial" w:hAnsi="Arial" w:cs="Arial"/>
                <w:sz w:val="22"/>
              </w:rPr>
              <w:t>Strengthen partnerships across the Frankston North Education Plan and with parents, carers and families to build connectedness and engagement with the school</w:t>
            </w: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FD062"/>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The strategic direction and deployment of resources to create and reflect shared goals and values; high expectations; and a positive, safe and orderly learning environment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F8CDDB"/>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Key Improvement Strategy 2.c</w:t>
            </w:r>
          </w:p>
          <w:p>
            <w:r>
              <w:rPr>
                <w:rFonts w:ascii="Arial" w:eastAsia="Arial" w:hAnsi="Arial" w:cs="Arial"/>
                <w:sz w:val="22"/>
              </w:rPr>
              <w:t xml:space="preserve">Activation of student voice and agency, including in leadership and learning, to strengthen students’ participation and engagement in school </w:t>
            </w:r>
          </w:p>
        </w:tc>
        <w:tc>
          <w:tcPr>
            <w:tcW w:w="11060" w:type="dxa"/>
            <w:vMerge/>
            <w:shd w:val="clear" w:color="auto" w:fill="FFFFFF" w:themeFill="background1"/>
          </w:tcPr>
          <w:p w:rsidR="007166AE" w:rsidRPr="000D0919" w:rsidP="009B10A5">
            <w:pPr>
              <w:pStyle w:val="ESBodyText"/>
              <w:spacing w:after="0"/>
              <w:rPr>
                <w:sz w:val="20"/>
                <w:szCs w:val="24"/>
                <w:lang w:val="en-AU"/>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2.1</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757"/>
              <w:gridCol w:w="318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maintain the percentage of positive endorsement for the Attitudes to School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Emotional awareness and regulation</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75%</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75%</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Managing bullying</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73%</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73%</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Sense of connectedness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67%</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67%</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7-12</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Student voice and agency</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60%</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60%</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2.2</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757"/>
              <w:gridCol w:w="318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increase the percentage of positive endorsement School Staff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Staff</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Use student feedback to improve practice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56%</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65%</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Staff</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Promote student ownership of learning goals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67%</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67%</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2.3</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1757"/>
              <w:gridCol w:w="318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increase the percentage positive endorsement to the Parent/Caregiver/Guardian Opinion Survey factors:</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Parents</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Stimulating learning environment</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65%</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70%</w:t>
                  </w:r>
                </w:p>
              </w:tc>
            </w:tr>
            <w:tr>
              <w:tblPrEx>
                <w:tblCellSpacing w:w="15" w:type="dxa"/>
                <w:tblCellMar>
                  <w:top w:w="15" w:type="dxa"/>
                  <w:left w:w="15" w:type="dxa"/>
                  <w:bottom w:w="15" w:type="dxa"/>
                  <w:right w:w="15" w:type="dxa"/>
                </w:tblCellMar>
              </w:tblPrEx>
              <w:trPr>
                <w:tblCellSpacing w:w="15" w:type="dxa"/>
              </w:trPr>
              <w:tc>
                <w:tcPr>
                  <w:tcW w:w="172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Parents</w:t>
                  </w:r>
                </w:p>
              </w:tc>
              <w:tc>
                <w:tcPr>
                  <w:tcW w:w="315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Student motivation and support</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58%</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62%</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2.4</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32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decrease the percentage of student absent days:</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Factor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Years 7-12</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 or more absent days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71%</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53%</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Year 10 Male</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 or more absent days</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83%</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56%</w:t>
                  </w:r>
                </w:p>
              </w:tc>
            </w:tr>
          </w:tbl>
          <w:p>
            <w:pPr>
              <w:rPr>
                <w:rFonts w:ascii="Arial" w:eastAsia="Arial" w:hAnsi="Arial" w:cs="Arial"/>
                <w:b w:val="0"/>
                <w:sz w:val="22"/>
              </w:rPr>
            </w:pPr>
          </w:p>
        </w:tc>
      </w:tr>
      <w:tr w:rsidTr="009B10A5">
        <w:tblPrEx>
          <w:tblW w:w="15115" w:type="dxa"/>
          <w:tblInd w:w="-450" w:type="dxa"/>
          <w:tblCellMar>
            <w:top w:w="115" w:type="dxa"/>
            <w:left w:w="115" w:type="dxa"/>
            <w:bottom w:w="115" w:type="dxa"/>
            <w:right w:w="115" w:type="dxa"/>
          </w:tblCellMar>
          <w:tblLook w:val="04A0"/>
        </w:tblPrEx>
        <w:trPr>
          <w:trHeight w:val="15"/>
        </w:trPr>
        <w:tc>
          <w:tcPr>
            <w:tcW w:w="4055" w:type="dxa"/>
            <w:shd w:val="clear" w:color="auto" w:fill="D9D9D9" w:themeFill="background1" w:themeFillShade="D9"/>
            <w:noWrap w:val="0"/>
          </w:tcPr>
          <w:p w:rsidR="007166AE" w:rsidRPr="000D0919" w:rsidP="009B10A5">
            <w:pPr>
              <w:pStyle w:val="Heading3"/>
              <w:spacing w:before="0" w:after="0"/>
              <w:rPr>
                <w:szCs w:val="20"/>
                <w:lang w:val="en-AU"/>
              </w:rPr>
            </w:pPr>
            <w:r w:rsidRPr="000D0919">
              <w:rPr>
                <w:rFonts w:ascii="Arial" w:eastAsia="Arial" w:hAnsi="Arial" w:cs="Arial"/>
                <w:sz w:val="22"/>
                <w:szCs w:val="20"/>
                <w:lang w:val="en-AU"/>
              </w:rPr>
              <w:t>Target 2.5</w:t>
            </w:r>
          </w:p>
        </w:tc>
        <w:tc>
          <w:tcPr>
            <w:tcW w:w="11060" w:type="dxa"/>
            <w:shd w:val="clear" w:color="auto" w:fill="FFFFFF" w:themeFill="background1"/>
          </w:tcPr>
          <w:tbl>
            <w:tblPr>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
            <w:tblGrid>
              <w:gridCol w:w="2327"/>
              <w:gridCol w:w="2613"/>
              <w:gridCol w:w="2327"/>
              <w:gridCol w:w="1486"/>
              <w:gridCol w:w="1622"/>
            </w:tblGrid>
            <w:tr>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blCellSpacing w:w="15" w:type="dxa"/>
              </w:trPr>
              <w:tc>
                <w:tcPr>
                  <w:tcW w:w="10095" w:type="dxa"/>
                  <w:gridSpan w:val="5"/>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By 2030, increase the student attendance rate:</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Cohort</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Focus or factor</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Baseline</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Year</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bCs/>
                      <w:color w:val="000000"/>
                      <w:sz w:val="22"/>
                    </w:rPr>
                    <w:t>Target</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Equity funded</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90% or higher attendance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25%</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30%</w:t>
                  </w:r>
                </w:p>
              </w:tc>
            </w:tr>
            <w:tr>
              <w:tblPrEx>
                <w:tblCellSpacing w:w="15" w:type="dxa"/>
                <w:tblCellMar>
                  <w:top w:w="15" w:type="dxa"/>
                  <w:left w:w="15" w:type="dxa"/>
                  <w:bottom w:w="15" w:type="dxa"/>
                  <w:right w:w="15" w:type="dxa"/>
                </w:tblCellMar>
              </w:tblPrEx>
              <w:trPr>
                <w:tblCellSpacing w:w="15" w:type="dxa"/>
              </w:trPr>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Male</w:t>
                  </w:r>
                </w:p>
              </w:tc>
              <w:tc>
                <w:tcPr>
                  <w:tcW w:w="258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90% or higher attendance</w:t>
                  </w:r>
                </w:p>
              </w:tc>
              <w:tc>
                <w:tcPr>
                  <w:tcW w:w="229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21%</w:t>
                  </w:r>
                </w:p>
              </w:tc>
              <w:tc>
                <w:tcPr>
                  <w:tcW w:w="1455"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2025</w:t>
                  </w:r>
                </w:p>
              </w:tc>
              <w:tc>
                <w:tcPr>
                  <w:tcW w:w="1590" w:type="dxa"/>
                  <w:noWrap w:val="0"/>
                  <w:tcMar>
                    <w:top w:w="15" w:type="dxa"/>
                    <w:left w:w="15" w:type="dxa"/>
                    <w:bottom w:w="15" w:type="dxa"/>
                    <w:right w:w="15" w:type="dxa"/>
                  </w:tcMar>
                  <w:vAlign w:val="center"/>
                </w:tcPr>
                <w:p>
                  <w:pPr>
                    <w:rPr>
                      <w:rStyle w:val="DefaultParagraphFont"/>
                      <w:rFonts w:ascii="Arial" w:eastAsia="Arial" w:hAnsi="Arial" w:cs="Arial"/>
                      <w:b w:val="0"/>
                      <w:color w:val="000000"/>
                      <w:sz w:val="22"/>
                      <w:szCs w:val="22"/>
                    </w:rPr>
                  </w:pPr>
                  <w:r>
                    <w:rPr>
                      <w:rStyle w:val="DefaultParagraphFont"/>
                      <w:rFonts w:ascii="Arial" w:eastAsia="Arial" w:hAnsi="Arial" w:cs="Arial"/>
                      <w:b w:val="0"/>
                      <w:color w:val="000000"/>
                      <w:sz w:val="22"/>
                    </w:rPr>
                    <w:t>28%</w:t>
                  </w:r>
                </w:p>
              </w:tc>
            </w:tr>
          </w:tbl>
          <w:p>
            <w:pPr>
              <w:rPr>
                <w:rFonts w:ascii="Arial" w:eastAsia="Arial" w:hAnsi="Arial" w:cs="Arial"/>
                <w:b w:val="0"/>
                <w:sz w:val="22"/>
              </w:rPr>
            </w:pPr>
          </w:p>
        </w:tc>
      </w:tr>
    </w:tbl>
    <w:p w:rsidR="007166AE" w:rsidRPr="000D0919" w:rsidP="007166AE">
      <w:pPr>
        <w:ind w:right="-632"/>
        <w:rPr>
          <w:b/>
          <w:color w:val="AF272F"/>
          <w:sz w:val="36"/>
          <w:szCs w:val="44"/>
          <w:lang w:val="en-AU"/>
        </w:rPr>
      </w:pPr>
    </w:p>
    <w:p/>
    <w:p/>
    <w:sectPr w:rsidSect="008E169D">
      <w:headerReference w:type="even" r:id="rId19"/>
      <w:headerReference w:type="default" r:id="rId20"/>
      <w:footerReference w:type="default" r:id="rId21"/>
      <w:headerReference w:type="first" r:id="rId22"/>
      <w:pgSz w:w="16838" w:h="11906" w:orient="landscape" w:code="9"/>
      <w:pgMar w:top="1304" w:right="2036" w:bottom="1240" w:left="1304" w:header="624" w:footer="532" w:gutter="0"/>
      <w:pgNumType w:start="1"/>
      <w:cols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66AE"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3E29B5" w:rsidP="00B076DB">
    <w:r w:rsidRPr="000C104E">
      <w:rPr>
        <w:noProof/>
        <w:lang w:val="en-AU" w:eastAsia="en-AU"/>
      </w:rPr>
      <w:drawing>
        <wp:anchor distT="0" distB="0" distL="114300" distR="114300" simplePos="0" relativeHeight="251674624" behindDoc="1" locked="0" layoutInCell="1" allowOverlap="1">
          <wp:simplePos x="0" y="0"/>
          <wp:positionH relativeFrom="column">
            <wp:posOffset>-141832</wp:posOffset>
          </wp:positionH>
          <wp:positionV relativeFrom="paragraph">
            <wp:posOffset>87809</wp:posOffset>
          </wp:positionV>
          <wp:extent cx="1981200" cy="7048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r w:rsidRPr="003E29B5">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sidRPr="007839E6" w:rsidP="00362A9C">
    <w:pPr>
      <w:pStyle w:val="ESImageorGraphTitle"/>
      <w:rPr>
        <w:b w:val="0"/>
        <w:sz w:val="15"/>
        <w:szCs w:val="15"/>
      </w:rPr>
    </w:pPr>
    <w:r w:rsidRPr="007839E6">
      <w:rPr>
        <w:b w:val="0"/>
        <w:noProof/>
        <w:sz w:val="15"/>
        <w:szCs w:val="15"/>
      </w:rPr>
      <w:t>Monterey Secondary College (8809) - School Strategic Plan</w:t>
    </w:r>
    <w:r w:rsidRPr="007839E6">
      <w:rPr>
        <w:b w:val="0"/>
        <w:noProof/>
        <w:sz w:val="15"/>
        <w:szCs w:val="15"/>
        <w:lang w:val="en-AU" w:eastAsia="en-AU"/>
      </w:rPr>
      <w:drawing>
        <wp:anchor distT="0" distB="0" distL="114300" distR="114300" simplePos="0" relativeHeight="251675648"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1556972681"/>
      <w:docPartObj>
        <w:docPartGallery w:val="Page Numbers (Bottom of Page)"/>
        <w:docPartUnique/>
      </w:docPartObj>
    </w:sdtPr>
    <w:sdtEndPr>
      <w:rPr>
        <w:noProof/>
      </w:rPr>
    </w:sdtEndPr>
    <w:sdtContent>
      <w:p w:rsidR="007166AE" w:rsidRPr="007B2B29" w:rsidP="00B076DB">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Pr>
            <w:rFonts w:eastAsia="Arial" w:cs="Times New Roman"/>
            <w:noProof/>
            <w:color w:val="AF272F"/>
            <w:sz w:val="15"/>
            <w:szCs w:val="15"/>
            <w:lang w:val="en-AU"/>
          </w:rPr>
          <w:t>3</w:t>
        </w:r>
        <w:r w:rsidRPr="007B2B29">
          <w:rPr>
            <w:rFonts w:eastAsia="Arial" w:cs="Times New Roman"/>
            <w:noProof/>
            <w:color w:val="AF272F"/>
            <w:sz w:val="15"/>
            <w:szCs w:val="15"/>
            <w:lang w:val="en-AU"/>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0CA" w:rsidRPr="00793BFC" w:rsidP="00793BFC">
    <w:pPr>
      <w:pStyle w:val="ESSubheading1"/>
      <w:ind w:firstLine="567"/>
      <w:rPr>
        <w:sz w:val="15"/>
        <w:szCs w:val="15"/>
      </w:rPr>
    </w:pPr>
    <w:r w:rsidRPr="00793BFC">
      <w:rPr>
        <w:noProof/>
        <w:sz w:val="15"/>
        <w:szCs w:val="15"/>
      </w:rPr>
      <w:t>Monterey Secondary College (8809) - School Strategic Plan</w:t>
    </w:r>
    <w:r w:rsidRPr="00793BFC" w:rsidR="000C104E">
      <w:rPr>
        <w:noProof/>
        <w:sz w:val="15"/>
        <w:szCs w:val="15"/>
      </w:rPr>
      <w:drawing>
        <wp:anchor distT="0" distB="0" distL="114300" distR="114300" simplePos="0" relativeHeight="251663360" behindDoc="1" locked="0" layoutInCell="1" allowOverlap="1">
          <wp:simplePos x="0" y="0"/>
          <wp:positionH relativeFrom="column">
            <wp:posOffset>11844304</wp:posOffset>
          </wp:positionH>
          <wp:positionV relativeFrom="paragraph">
            <wp:posOffset>-47625</wp:posOffset>
          </wp:positionV>
          <wp:extent cx="1981200" cy="7048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81200" cy="704850"/>
                  </a:xfrm>
                  <a:prstGeom prst="rect">
                    <a:avLst/>
                  </a:prstGeom>
                </pic:spPr>
              </pic:pic>
            </a:graphicData>
          </a:graphic>
        </wp:anchor>
      </w:drawing>
    </w:r>
  </w:p>
  <w:sdt>
    <w:sdtPr>
      <w:rPr>
        <w:rFonts w:eastAsia="Arial" w:cs="Times New Roman"/>
        <w:color w:val="AF272F"/>
        <w:sz w:val="15"/>
        <w:szCs w:val="15"/>
        <w:lang w:val="en-AU"/>
      </w:rPr>
      <w:id w:val="208384299"/>
      <w:docPartObj>
        <w:docPartGallery w:val="Page Numbers (Bottom of Page)"/>
        <w:docPartUnique/>
      </w:docPartObj>
    </w:sdtPr>
    <w:sdtEndPr>
      <w:rPr>
        <w:noProof/>
      </w:rPr>
    </w:sdtEndPr>
    <w:sdtContent>
      <w:p w:rsidR="00FA30CA" w:rsidRPr="007B2B29" w:rsidP="007B2B29">
        <w:pPr>
          <w:tabs>
            <w:tab w:val="right" w:pos="567"/>
          </w:tabs>
          <w:spacing w:after="0" w:line="240" w:lineRule="auto"/>
          <w:ind w:right="-2268"/>
          <w:rPr>
            <w:rFonts w:eastAsia="Arial" w:cs="Times New Roman"/>
            <w:color w:val="AF272F"/>
            <w:sz w:val="13"/>
            <w:szCs w:val="13"/>
            <w:lang w:val="en-AU"/>
          </w:rPr>
        </w:pPr>
        <w:r w:rsidRPr="00006534">
          <w:rPr>
            <w:rFonts w:eastAsia="Arial" w:cs="Times New Roman"/>
            <w:color w:val="AF272F"/>
            <w:sz w:val="15"/>
            <w:szCs w:val="15"/>
            <w:lang w:val="en-AU"/>
          </w:rPr>
          <w:t xml:space="preserve">Page  </w:t>
        </w:r>
        <w:r w:rsidRPr="00006534">
          <w:rPr>
            <w:rFonts w:eastAsia="Arial" w:cs="Times New Roman"/>
            <w:color w:val="AF272F"/>
            <w:sz w:val="15"/>
            <w:szCs w:val="15"/>
            <w:lang w:val="en-AU"/>
          </w:rPr>
          <w:fldChar w:fldCharType="begin"/>
        </w:r>
        <w:r w:rsidRPr="00006534">
          <w:rPr>
            <w:rFonts w:eastAsia="Arial" w:cs="Times New Roman"/>
            <w:color w:val="AF272F"/>
            <w:sz w:val="15"/>
            <w:szCs w:val="15"/>
            <w:lang w:val="en-AU"/>
          </w:rPr>
          <w:instrText xml:space="preserve"> TITLE  \* MERGEFORMAT </w:instrText>
        </w:r>
        <w:r w:rsidRPr="00006534">
          <w:rPr>
            <w:rFonts w:eastAsia="Arial" w:cs="Times New Roman"/>
            <w:color w:val="AF272F"/>
            <w:sz w:val="15"/>
            <w:szCs w:val="15"/>
            <w:lang w:val="en-AU"/>
          </w:rPr>
          <w:fldChar w:fldCharType="separate"/>
        </w:r>
        <w:r w:rsidRPr="00006534">
          <w:rPr>
            <w:rFonts w:eastAsia="Arial" w:cs="Times New Roman"/>
            <w:color w:val="AF272F"/>
            <w:sz w:val="15"/>
            <w:szCs w:val="15"/>
            <w:lang w:val="en-AU"/>
          </w:rPr>
          <w:fldChar w:fldCharType="end"/>
        </w:r>
        <w:r w:rsidRPr="007B2B29">
          <w:rPr>
            <w:rFonts w:eastAsia="Arial" w:cs="Times New Roman"/>
            <w:color w:val="AF272F"/>
            <w:sz w:val="15"/>
            <w:szCs w:val="15"/>
            <w:lang w:val="en-AU"/>
          </w:rPr>
          <w:tab/>
        </w:r>
        <w:r w:rsidRPr="007B2B29">
          <w:rPr>
            <w:rFonts w:eastAsia="Arial" w:cs="Times New Roman"/>
            <w:color w:val="AF272F"/>
            <w:sz w:val="15"/>
            <w:szCs w:val="15"/>
            <w:lang w:val="en-AU"/>
          </w:rPr>
          <w:fldChar w:fldCharType="begin"/>
        </w:r>
        <w:r w:rsidRPr="007B2B29">
          <w:rPr>
            <w:rFonts w:eastAsia="Arial" w:cs="Times New Roman"/>
            <w:color w:val="AF272F"/>
            <w:sz w:val="15"/>
            <w:szCs w:val="15"/>
            <w:lang w:val="en-AU"/>
          </w:rPr>
          <w:instrText xml:space="preserve"> PAGE   \* MERGEFORMAT </w:instrText>
        </w:r>
        <w:r w:rsidRPr="007B2B29">
          <w:rPr>
            <w:rFonts w:eastAsia="Arial" w:cs="Times New Roman"/>
            <w:color w:val="AF272F"/>
            <w:sz w:val="15"/>
            <w:szCs w:val="15"/>
            <w:lang w:val="en-AU"/>
          </w:rPr>
          <w:fldChar w:fldCharType="separate"/>
        </w:r>
        <w:r w:rsidR="00606CCB">
          <w:rPr>
            <w:rFonts w:eastAsia="Arial" w:cs="Times New Roman"/>
            <w:noProof/>
            <w:color w:val="AF272F"/>
            <w:sz w:val="15"/>
            <w:szCs w:val="15"/>
            <w:lang w:val="en-AU"/>
          </w:rPr>
          <w:t>1</w:t>
        </w:r>
        <w:r w:rsidRPr="007B2B29">
          <w:rPr>
            <w:rFonts w:eastAsia="Arial" w:cs="Times New Roman"/>
            <w:noProof/>
            <w:color w:val="AF272F"/>
            <w:sz w:val="15"/>
            <w:szCs w:val="15"/>
            <w:lang w:val="en-AU"/>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6432"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7456"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pPr>
      <w:pStyle w:val="Header"/>
    </w:pPr>
    <w:r w:rsidRPr="000C104E">
      <w:rPr>
        <w:noProof/>
        <w:lang w:val="en-AU" w:eastAsia="en-AU"/>
      </w:rPr>
      <w:drawing>
        <wp:anchor distT="0" distB="0" distL="114300" distR="114300" simplePos="0" relativeHeight="25167257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7166A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5408" filled="f" stroked="f">
              <o:lock v:ext="edit" shapetype="t"/>
              <v:textbox style="mso-fit-shape-to-text:t">
                <w:txbxContent>
                  <w:p w:rsidR="007166AE" w:rsidP="007166AE">
                    <w:pPr>
                      <w:jc w:val="center"/>
                      <w:rPr>
                        <w:color w:val="D3D3D3"/>
                        <w:sz w:val="72"/>
                        <w:szCs w:val="72"/>
                        <w14:textOutline w14:w="9525">
                          <w14:solidFill>
                            <w14:srgbClr w14:val="D3D3D3"/>
                          </w14:solidFill>
                          <w14:round/>
                        </w14:textOutline>
                      </w:rPr>
                    </w:pPr>
                    <w:r>
                      <w:rPr>
                        <w:color w:val="D3D3D3"/>
                        <w:sz w:val="72"/>
                        <w:szCs w:val="72"/>
                        <w14:textOutline w14:w="9525">
                          <w14:solidFill>
                            <w14:srgbClr w14:val="D3D3D3"/>
                          </w14:solidFill>
                          <w14:round/>
                        </w14:textOutline>
                      </w:rPr>
                      <w:t>Draft</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7052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71552"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sidRPr="000C104E">
      <w:rPr>
        <w:noProof/>
        <w:lang w:val="en-AU" w:eastAsia="en-AU"/>
      </w:rPr>
      <w:drawing>
        <wp:anchor distT="0" distB="0" distL="114300" distR="114300" simplePos="0" relativeHeight="251673600"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66AE">
    <w:r>
      <w:rPr>
        <w:noProof/>
        <w:lang w:val="en-AU" w:eastAsia="en-AU"/>
      </w:rPr>
      <mc:AlternateContent>
        <mc:Choice Requires="wps">
          <w:drawing>
            <wp:anchor distT="0" distB="0" distL="114300" distR="114300" simplePos="0" relativeHeight="25166848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2"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9504" filled="f" stroked="f">
              <o:lock v:ext="edit" shapetype="t"/>
              <v:textbox style="mso-fit-shape-to-text:t">
                <w:txbxContent>
                  <w:p w:rsidR="007166AE"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3"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30CA" w:rsidRPr="003E29B5" w:rsidP="008766A4">
    <w:r w:rsidRPr="000C104E">
      <w:rPr>
        <w:noProof/>
      </w:rPr>
      <w:drawing>
        <wp:anchor distT="0" distB="0" distL="114300" distR="114300" simplePos="0" relativeHeight="251662336" behindDoc="1" locked="0" layoutInCell="1" allowOverlap="1">
          <wp:simplePos x="0" y="0"/>
          <wp:positionH relativeFrom="column">
            <wp:posOffset>11844068</wp:posOffset>
          </wp:positionH>
          <wp:positionV relativeFrom="paragraph">
            <wp:posOffset>-272367</wp:posOffset>
          </wp:positionV>
          <wp:extent cx="1991003" cy="74305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p w:rsidR="00180DD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DD4">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_x0000_s2054"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C259B6" w:rsidP="00C259B6">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FE6ADFC"/>
    <w:lvl w:ilvl="0">
      <w:start w:val="1"/>
      <w:numFmt w:val="bullet"/>
      <w:pStyle w:val="NoteLevel1"/>
      <w:lvlText w:val=""/>
      <w:lvlJc w:val="left"/>
      <w:pPr>
        <w:ind w:left="-600" w:hanging="360"/>
      </w:pPr>
      <w:rPr>
        <w:rFonts w:ascii="Symbol" w:hAnsi="Symbol" w:hint="default"/>
        <w:color w:val="AF272F"/>
      </w:rPr>
    </w:lvl>
    <w:lvl w:ilvl="1">
      <w:start w:val="1"/>
      <w:numFmt w:val="bullet"/>
      <w:pStyle w:val="NoteLevel2"/>
      <w:lvlText w:val=""/>
      <w:lvlJc w:val="left"/>
      <w:pPr>
        <w:tabs>
          <w:tab w:val="num" w:pos="-240"/>
        </w:tabs>
        <w:ind w:left="120" w:hanging="360"/>
      </w:pPr>
      <w:rPr>
        <w:rFonts w:ascii="Symbol" w:hAnsi="Symbol" w:hint="default"/>
      </w:rPr>
    </w:lvl>
    <w:lvl w:ilvl="2">
      <w:start w:val="1"/>
      <w:numFmt w:val="bullet"/>
      <w:pStyle w:val="NoteLevel3"/>
      <w:lvlText w:val="o"/>
      <w:lvlJc w:val="left"/>
      <w:pPr>
        <w:tabs>
          <w:tab w:val="num" w:pos="480"/>
        </w:tabs>
        <w:ind w:left="840" w:hanging="360"/>
      </w:pPr>
      <w:rPr>
        <w:rFonts w:ascii="Courier New" w:hAnsi="Courier New" w:cs="Courier New" w:hint="default"/>
      </w:rPr>
    </w:lvl>
    <w:lvl w:ilvl="3">
      <w:start w:val="1"/>
      <w:numFmt w:val="bullet"/>
      <w:pStyle w:val="NoteLevel4"/>
      <w:lvlText w:val=""/>
      <w:lvlJc w:val="left"/>
      <w:pPr>
        <w:tabs>
          <w:tab w:val="num" w:pos="1200"/>
        </w:tabs>
        <w:ind w:left="1560" w:hanging="360"/>
      </w:pPr>
      <w:rPr>
        <w:rFonts w:ascii="Wingdings" w:hAnsi="Wingdings" w:hint="default"/>
        <w:color w:val="AF272F"/>
      </w:rPr>
    </w:lvl>
    <w:lvl w:ilvl="4">
      <w:start w:val="1"/>
      <w:numFmt w:val="bullet"/>
      <w:pStyle w:val="NoteLevel5"/>
      <w:lvlText w:val=""/>
      <w:lvlJc w:val="left"/>
      <w:pPr>
        <w:tabs>
          <w:tab w:val="num" w:pos="1920"/>
        </w:tabs>
        <w:ind w:left="2280" w:hanging="360"/>
      </w:pPr>
      <w:rPr>
        <w:rFonts w:ascii="Wingdings" w:hAnsi="Wingdings" w:hint="default"/>
      </w:rPr>
    </w:lvl>
    <w:lvl w:ilvl="5">
      <w:start w:val="1"/>
      <w:numFmt w:val="bullet"/>
      <w:pStyle w:val="NoteLevel6"/>
      <w:lvlText w:val=""/>
      <w:lvlJc w:val="left"/>
      <w:pPr>
        <w:tabs>
          <w:tab w:val="num" w:pos="2640"/>
        </w:tabs>
        <w:ind w:left="3000" w:hanging="360"/>
      </w:pPr>
      <w:rPr>
        <w:rFonts w:ascii="Symbol" w:hAnsi="Symbol" w:hint="default"/>
        <w:sz w:val="15"/>
      </w:rPr>
    </w:lvl>
    <w:lvl w:ilvl="6">
      <w:start w:val="1"/>
      <w:numFmt w:val="bullet"/>
      <w:lvlText w:val="o"/>
      <w:lvlJc w:val="left"/>
      <w:pPr>
        <w:tabs>
          <w:tab w:val="num" w:pos="3360"/>
        </w:tabs>
        <w:ind w:left="3720" w:hanging="360"/>
      </w:pPr>
      <w:rPr>
        <w:rFonts w:ascii="Courier New" w:hAnsi="Courier New" w:cs="Courier New" w:hint="default"/>
      </w:rPr>
    </w:lvl>
    <w:lvl w:ilvl="7">
      <w:start w:val="1"/>
      <w:numFmt w:val="bullet"/>
      <w:pStyle w:val="NoteLevel8"/>
      <w:lvlText w:val=""/>
      <w:lvlJc w:val="left"/>
      <w:pPr>
        <w:tabs>
          <w:tab w:val="num" w:pos="4080"/>
        </w:tabs>
        <w:ind w:left="4440" w:hanging="360"/>
      </w:pPr>
      <w:rPr>
        <w:rFonts w:ascii="Wingdings" w:hAnsi="Wingdings" w:hint="default"/>
      </w:rPr>
    </w:lvl>
    <w:lvl w:ilvl="8">
      <w:start w:val="1"/>
      <w:numFmt w:val="bullet"/>
      <w:pStyle w:val="NoteLevel9"/>
      <w:lvlText w:val=""/>
      <w:lvlJc w:val="left"/>
      <w:pPr>
        <w:tabs>
          <w:tab w:val="num" w:pos="4800"/>
        </w:tabs>
        <w:ind w:left="5160" w:hanging="360"/>
      </w:pPr>
      <w:rPr>
        <w:rFonts w:ascii="Wingdings" w:hAnsi="Wingdings" w:hint="default"/>
      </w:rPr>
    </w:lvl>
  </w:abstractNum>
  <w:abstractNum w:abstractNumId="1">
    <w:nsid w:val="FFFFFF7C"/>
    <w:multiLevelType w:val="singleLevel"/>
    <w:tmpl w:val="C9844DB2"/>
    <w:lvl w:ilvl="0">
      <w:start w:val="1"/>
      <w:numFmt w:val="decimal"/>
      <w:lvlText w:val="%1."/>
      <w:lvlJc w:val="left"/>
      <w:pPr>
        <w:tabs>
          <w:tab w:val="num" w:pos="1492"/>
        </w:tabs>
        <w:ind w:left="1492" w:hanging="360"/>
      </w:pPr>
    </w:lvl>
  </w:abstractNum>
  <w:abstractNum w:abstractNumId="2">
    <w:nsid w:val="FFFFFF7D"/>
    <w:multiLevelType w:val="singleLevel"/>
    <w:tmpl w:val="AEDC9C9A"/>
    <w:lvl w:ilvl="0">
      <w:start w:val="1"/>
      <w:numFmt w:val="decimal"/>
      <w:lvlText w:val="%1."/>
      <w:lvlJc w:val="left"/>
      <w:pPr>
        <w:tabs>
          <w:tab w:val="num" w:pos="1209"/>
        </w:tabs>
        <w:ind w:left="1209" w:hanging="360"/>
      </w:pPr>
    </w:lvl>
  </w:abstractNum>
  <w:abstractNum w:abstractNumId="3">
    <w:nsid w:val="FFFFFF7E"/>
    <w:multiLevelType w:val="singleLevel"/>
    <w:tmpl w:val="311ED480"/>
    <w:lvl w:ilvl="0">
      <w:start w:val="1"/>
      <w:numFmt w:val="decimal"/>
      <w:lvlText w:val="%1."/>
      <w:lvlJc w:val="left"/>
      <w:pPr>
        <w:tabs>
          <w:tab w:val="num" w:pos="926"/>
        </w:tabs>
        <w:ind w:left="926" w:hanging="360"/>
      </w:pPr>
    </w:lvl>
  </w:abstractNum>
  <w:abstractNum w:abstractNumId="4">
    <w:nsid w:val="FFFFFF7F"/>
    <w:multiLevelType w:val="singleLevel"/>
    <w:tmpl w:val="821843EA"/>
    <w:lvl w:ilvl="0">
      <w:start w:val="1"/>
      <w:numFmt w:val="decimal"/>
      <w:lvlText w:val="%1."/>
      <w:lvlJc w:val="left"/>
      <w:pPr>
        <w:tabs>
          <w:tab w:val="num" w:pos="643"/>
        </w:tabs>
        <w:ind w:left="643" w:hanging="360"/>
      </w:pPr>
    </w:lvl>
  </w:abstractNum>
  <w:abstractNum w:abstractNumId="5">
    <w:nsid w:val="FFFFFF80"/>
    <w:multiLevelType w:val="singleLevel"/>
    <w:tmpl w:val="530ECA6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41CA33B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204D11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CF22D7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36ABC90"/>
    <w:lvl w:ilvl="0">
      <w:start w:val="1"/>
      <w:numFmt w:val="decimal"/>
      <w:lvlText w:val="%1."/>
      <w:lvlJc w:val="left"/>
      <w:pPr>
        <w:tabs>
          <w:tab w:val="num" w:pos="360"/>
        </w:tabs>
        <w:ind w:left="360" w:hanging="360"/>
      </w:pPr>
    </w:lvl>
  </w:abstractNum>
  <w:abstractNum w:abstractNumId="10">
    <w:nsid w:val="FFFFFF89"/>
    <w:multiLevelType w:val="singleLevel"/>
    <w:tmpl w:val="565A255A"/>
    <w:lvl w:ilvl="0">
      <w:start w:val="1"/>
      <w:numFmt w:val="bullet"/>
      <w:lvlText w:val=""/>
      <w:lvlJc w:val="left"/>
      <w:pPr>
        <w:tabs>
          <w:tab w:val="num" w:pos="360"/>
        </w:tabs>
        <w:ind w:left="360" w:hanging="360"/>
      </w:pPr>
      <w:rPr>
        <w:rFonts w:ascii="Symbol" w:hAnsi="Symbol" w:hint="default"/>
      </w:rPr>
    </w:lvl>
  </w:abstractNum>
  <w:abstractNum w:abstractNumId="11">
    <w:nsid w:val="06AD53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BDE22CF"/>
    <w:multiLevelType w:val="multilevel"/>
    <w:tmpl w:val="58EA9756"/>
    <w:lvl w:ilvl="0">
      <w:start w:val="1"/>
      <w:numFmt w:val="bullet"/>
      <w:lvlText w:val=""/>
      <w:lvlJc w:val="left"/>
      <w:pPr>
        <w:ind w:left="360" w:hanging="360"/>
      </w:pPr>
      <w:rPr>
        <w:rFonts w:ascii="Symbol" w:hAnsi="Symbol" w:hint="default"/>
        <w:color w:val="AF272F"/>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3">
    <w:nsid w:val="3960527E"/>
    <w:multiLevelType w:val="hybridMultilevel"/>
    <w:tmpl w:val="97505B86"/>
    <w:lvl w:ilvl="0">
      <w:start w:val="1"/>
      <w:numFmt w:val="bullet"/>
      <w:pStyle w:val="ESBulletsinTable"/>
      <w:lvlText w:val=""/>
      <w:lvlJc w:val="left"/>
      <w:pPr>
        <w:ind w:left="360" w:hanging="360"/>
      </w:pPr>
      <w:rPr>
        <w:rFonts w:ascii="Symbol" w:hAnsi="Symbol" w:hint="default"/>
        <w:color w:val="AF272F"/>
      </w:rPr>
    </w:lvl>
    <w:lvl w:ilvl="1">
      <w:start w:val="1"/>
      <w:numFmt w:val="bullet"/>
      <w:pStyle w:val="ESBulletsinTableLevel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A94D37"/>
    <w:multiLevelType w:val="multilevel"/>
    <w:tmpl w:val="FEE4086A"/>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5">
    <w:nsid w:val="7B943FCB"/>
    <w:multiLevelType w:val="multilevel"/>
    <w:tmpl w:val="20C6D0A0"/>
    <w:lvl w:ilvl="0">
      <w:start w:val="1"/>
      <w:numFmt w:val="bullet"/>
      <w:lvlText w:val=""/>
      <w:lvlJc w:val="left"/>
      <w:pPr>
        <w:ind w:left="360" w:hanging="36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sz w:val="15"/>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6">
    <w:nsid w:val="7FCB6D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4"/>
  </w:num>
  <w:num w:numId="15">
    <w:abstractNumId w:val="15"/>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autoFormatOverride/>
  <w:defaultTabStop w:val="720"/>
  <w:drawingGridHorizontalSpacing w:val="9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atentStyles>
  <w:style w:type="paragraph" w:default="1" w:styleId="Normal">
    <w:name w:val="Normal"/>
    <w:semiHidden/>
    <w:qFormat/>
    <w:rsid w:val="00127682"/>
    <w:pPr>
      <w:spacing w:after="120" w:line="240" w:lineRule="atLeast"/>
    </w:pPr>
    <w:rPr>
      <w:rFonts w:ascii="Arial" w:hAnsi="Arial" w:cs="Arial"/>
      <w:sz w:val="18"/>
      <w:szCs w:val="18"/>
    </w:rPr>
  </w:style>
  <w:style w:type="paragraph" w:styleId="Heading1">
    <w:name w:val="heading 1"/>
    <w:basedOn w:val="Normal"/>
    <w:next w:val="Normal"/>
    <w:link w:val="Heading1Char"/>
    <w:uiPriority w:val="9"/>
    <w:semiHidden/>
    <w:qFormat/>
    <w:locked/>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semiHidden/>
    <w:qFormat/>
    <w:locked/>
    <w:rsid w:val="00751081"/>
    <w:pPr>
      <w:pBdr>
        <w:top w:val="single" w:sz="8" w:space="3" w:color="AF272F"/>
      </w:pBdr>
      <w:spacing w:before="300"/>
      <w:outlineLvl w:val="1"/>
    </w:pPr>
    <w:rPr>
      <w:bCs w:val="0"/>
    </w:rPr>
  </w:style>
  <w:style w:type="paragraph" w:styleId="Heading3">
    <w:name w:val="heading 3"/>
    <w:basedOn w:val="Normal"/>
    <w:next w:val="Normal"/>
    <w:link w:val="Heading3Char"/>
    <w:uiPriority w:val="9"/>
    <w:semiHidden/>
    <w:qFormat/>
    <w:locked/>
    <w:rsid w:val="00600EB1"/>
    <w:pPr>
      <w:spacing w:before="240"/>
      <w:outlineLvl w:val="2"/>
    </w:pPr>
    <w:rPr>
      <w:b/>
      <w:color w:val="000000" w:themeColor="text1"/>
      <w:sz w:val="20"/>
    </w:rPr>
  </w:style>
  <w:style w:type="paragraph" w:styleId="Heading4">
    <w:name w:val="heading 4"/>
    <w:basedOn w:val="Normal"/>
    <w:next w:val="Normal"/>
    <w:link w:val="Heading4Char"/>
    <w:uiPriority w:val="9"/>
    <w:unhideWhenUsed/>
    <w:qFormat/>
    <w:locked/>
    <w:rsid w:val="003E43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_Heading 1"/>
    <w:basedOn w:val="Title"/>
    <w:qFormat/>
    <w:rsid w:val="00D049D0"/>
  </w:style>
  <w:style w:type="paragraph" w:styleId="Quote">
    <w:name w:val="Quote"/>
    <w:basedOn w:val="Normal"/>
    <w:next w:val="Normal"/>
    <w:link w:val="QuoteChar"/>
    <w:uiPriority w:val="29"/>
    <w:semiHidden/>
    <w:qFormat/>
    <w:locked/>
    <w:rsid w:val="00D31299"/>
    <w:pPr>
      <w:spacing w:after="60" w:line="300" w:lineRule="atLeast"/>
    </w:pPr>
    <w:rPr>
      <w:b/>
      <w:bCs/>
      <w:color w:val="5A5A59"/>
      <w:sz w:val="24"/>
      <w:szCs w:val="25"/>
    </w:rPr>
  </w:style>
  <w:style w:type="paragraph" w:styleId="Footer">
    <w:name w:val="footer"/>
    <w:basedOn w:val="Normal"/>
    <w:link w:val="FooterChar"/>
    <w:uiPriority w:val="99"/>
    <w:rsid w:val="00326F48"/>
    <w:pPr>
      <w:tabs>
        <w:tab w:val="center" w:pos="4320"/>
        <w:tab w:val="right" w:pos="8640"/>
      </w:tabs>
    </w:pPr>
  </w:style>
  <w:style w:type="character" w:customStyle="1" w:styleId="FooterChar">
    <w:name w:val="Footer Char"/>
    <w:basedOn w:val="DefaultParagraphFont"/>
    <w:link w:val="Footer"/>
    <w:uiPriority w:val="99"/>
    <w:rsid w:val="005711D2"/>
    <w:rPr>
      <w:rFonts w:ascii="Arial" w:hAnsi="Arial" w:cs="Arial"/>
      <w:sz w:val="18"/>
      <w:szCs w:val="18"/>
    </w:rPr>
  </w:style>
  <w:style w:type="paragraph" w:customStyle="1" w:styleId="ESIntroParagraph">
    <w:name w:val="ES_Intro Paragraph"/>
    <w:basedOn w:val="Subtitle"/>
    <w:qFormat/>
    <w:rsid w:val="00D049D0"/>
  </w:style>
  <w:style w:type="paragraph" w:customStyle="1" w:styleId="ESHeading2">
    <w:name w:val="ES_Heading 2"/>
    <w:basedOn w:val="Heading1"/>
    <w:qFormat/>
    <w:rsid w:val="00895870"/>
    <w:pPr>
      <w:spacing w:before="240" w:after="120"/>
    </w:pPr>
  </w:style>
  <w:style w:type="paragraph" w:styleId="Subtitle">
    <w:name w:val="Subtitle"/>
    <w:basedOn w:val="Normal"/>
    <w:next w:val="Normal"/>
    <w:link w:val="SubtitleChar"/>
    <w:uiPriority w:val="11"/>
    <w:semiHidden/>
    <w:qFormat/>
    <w:locked/>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semiHidden/>
    <w:rsid w:val="005711D2"/>
    <w:rPr>
      <w:rFonts w:ascii="Arial" w:hAnsi="Arial" w:eastAsiaTheme="majorEastAsia" w:cstheme="majorBidi"/>
      <w:color w:val="5A5A59"/>
      <w:sz w:val="27"/>
      <w:szCs w:val="27"/>
    </w:rPr>
  </w:style>
  <w:style w:type="character" w:styleId="SubtleEmphasis">
    <w:name w:val="Subtle Emphasis"/>
    <w:basedOn w:val="DefaultParagraphFont"/>
    <w:uiPriority w:val="19"/>
    <w:semiHidden/>
    <w:locked/>
    <w:rsid w:val="00326F48"/>
    <w:rPr>
      <w:i/>
      <w:iCs/>
      <w:color w:val="808080" w:themeColor="text1" w:themeTint="7F"/>
    </w:rPr>
  </w:style>
  <w:style w:type="character" w:styleId="IntenseEmphasis">
    <w:name w:val="Intense Emphasis"/>
    <w:basedOn w:val="DefaultParagraphFont"/>
    <w:uiPriority w:val="21"/>
    <w:semiHidden/>
    <w:locked/>
    <w:rsid w:val="00600EB1"/>
    <w:rPr>
      <w:b/>
      <w:bCs/>
      <w:i/>
      <w:iCs/>
      <w:color w:val="C00000"/>
    </w:rPr>
  </w:style>
  <w:style w:type="character" w:styleId="Emphasis">
    <w:name w:val="Emphasis"/>
    <w:basedOn w:val="DefaultParagraphFont"/>
    <w:uiPriority w:val="20"/>
    <w:semiHidden/>
    <w:locked/>
    <w:rsid w:val="00326F48"/>
    <w:rPr>
      <w:i/>
      <w:iCs/>
    </w:rPr>
  </w:style>
  <w:style w:type="character" w:customStyle="1" w:styleId="Heading1Char">
    <w:name w:val="Heading 1 Char"/>
    <w:basedOn w:val="DefaultParagraphFont"/>
    <w:link w:val="Heading1"/>
    <w:uiPriority w:val="9"/>
    <w:semiHidden/>
    <w:rsid w:val="005711D2"/>
    <w:rPr>
      <w:rFonts w:ascii="Arial" w:hAnsi="Arial" w:eastAsiaTheme="majorEastAsia" w:cstheme="majorBidi"/>
      <w:b/>
      <w:bCs/>
      <w:caps/>
      <w:color w:val="AF272F"/>
      <w:sz w:val="20"/>
      <w:szCs w:val="20"/>
    </w:rPr>
  </w:style>
  <w:style w:type="paragraph" w:styleId="Title">
    <w:name w:val="Title"/>
    <w:next w:val="Subtitle"/>
    <w:link w:val="TitleChar"/>
    <w:uiPriority w:val="10"/>
    <w:semiHidden/>
    <w:qFormat/>
    <w:locked/>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customStyle="1" w:styleId="TitleChar">
    <w:name w:val="Title Char"/>
    <w:basedOn w:val="DefaultParagraphFont"/>
    <w:link w:val="Title"/>
    <w:uiPriority w:val="10"/>
    <w:semiHidden/>
    <w:rsid w:val="005711D2"/>
    <w:rPr>
      <w:rFonts w:ascii="Arial" w:hAnsi="Arial" w:eastAsiaTheme="majorEastAsia" w:cstheme="majorBidi"/>
      <w:b/>
      <w:color w:val="AF272F"/>
      <w:spacing w:val="5"/>
      <w:kern w:val="28"/>
      <w:sz w:val="44"/>
      <w:szCs w:val="52"/>
    </w:rPr>
  </w:style>
  <w:style w:type="character" w:customStyle="1" w:styleId="QuoteChar">
    <w:name w:val="Quote Char"/>
    <w:basedOn w:val="DefaultParagraphFont"/>
    <w:link w:val="Quote"/>
    <w:uiPriority w:val="29"/>
    <w:semiHidden/>
    <w:rsid w:val="005711D2"/>
    <w:rPr>
      <w:rFonts w:ascii="Arial" w:hAnsi="Arial" w:cs="Arial"/>
      <w:b/>
      <w:bCs/>
      <w:color w:val="5A5A59"/>
      <w:szCs w:val="25"/>
    </w:rPr>
  </w:style>
  <w:style w:type="paragraph" w:styleId="EndnoteText">
    <w:name w:val="endnote text"/>
    <w:basedOn w:val="Normal"/>
    <w:link w:val="EndnoteTextChar"/>
    <w:uiPriority w:val="99"/>
    <w:semiHidden/>
    <w:qFormat/>
    <w:locked/>
    <w:rsid w:val="00980015"/>
    <w:pPr>
      <w:spacing w:before="120" w:after="240"/>
    </w:pPr>
    <w:rPr>
      <w:b/>
      <w:color w:val="5A5A59"/>
      <w:szCs w:val="24"/>
    </w:rPr>
  </w:style>
  <w:style w:type="character" w:customStyle="1" w:styleId="EndnoteTextChar">
    <w:name w:val="Endnote Text Char"/>
    <w:basedOn w:val="DefaultParagraphFont"/>
    <w:link w:val="EndnoteText"/>
    <w:uiPriority w:val="99"/>
    <w:semiHidden/>
    <w:rsid w:val="005711D2"/>
    <w:rPr>
      <w:rFonts w:ascii="Arial" w:hAnsi="Arial" w:cs="Arial"/>
      <w:b/>
      <w:color w:val="5A5A59"/>
      <w:sz w:val="18"/>
    </w:rPr>
  </w:style>
  <w:style w:type="character" w:customStyle="1" w:styleId="Heading2Char">
    <w:name w:val="Heading 2 Char"/>
    <w:basedOn w:val="DefaultParagraphFont"/>
    <w:link w:val="Heading2"/>
    <w:uiPriority w:val="9"/>
    <w:semiHidden/>
    <w:rsid w:val="005711D2"/>
    <w:rPr>
      <w:rFonts w:ascii="Arial" w:hAnsi="Arial" w:eastAsiaTheme="majorEastAsia" w:cstheme="majorBidi"/>
      <w:b/>
      <w:caps/>
      <w:color w:val="AF272F"/>
      <w:sz w:val="20"/>
      <w:szCs w:val="20"/>
    </w:rPr>
  </w:style>
  <w:style w:type="character" w:styleId="Strong">
    <w:name w:val="Strong"/>
    <w:basedOn w:val="DefaultParagraphFont"/>
    <w:uiPriority w:val="22"/>
    <w:semiHidden/>
    <w:qFormat/>
    <w:locked/>
    <w:rsid w:val="00980015"/>
    <w:rPr>
      <w:b/>
      <w:bCs/>
    </w:rPr>
  </w:style>
  <w:style w:type="paragraph" w:styleId="Header">
    <w:name w:val="header"/>
    <w:basedOn w:val="Normal"/>
    <w:link w:val="HeaderChar"/>
    <w:uiPriority w:val="99"/>
    <w:semiHidden/>
    <w:locked/>
    <w:rsid w:val="007847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711D2"/>
    <w:rPr>
      <w:rFonts w:ascii="Arial" w:hAnsi="Arial" w:cs="Arial"/>
      <w:sz w:val="18"/>
      <w:szCs w:val="18"/>
    </w:rPr>
  </w:style>
  <w:style w:type="character" w:customStyle="1" w:styleId="Heading3Char">
    <w:name w:val="Heading 3 Char"/>
    <w:basedOn w:val="DefaultParagraphFont"/>
    <w:link w:val="Heading3"/>
    <w:uiPriority w:val="9"/>
    <w:semiHidden/>
    <w:rsid w:val="005711D2"/>
    <w:rPr>
      <w:rFonts w:ascii="Arial" w:hAnsi="Arial" w:cs="Arial"/>
      <w:b/>
      <w:color w:val="000000" w:themeColor="text1"/>
      <w:sz w:val="20"/>
      <w:szCs w:val="18"/>
    </w:rPr>
  </w:style>
  <w:style w:type="paragraph" w:styleId="TOAHeading">
    <w:name w:val="toa heading"/>
    <w:basedOn w:val="Normal"/>
    <w:next w:val="Normal"/>
    <w:uiPriority w:val="99"/>
    <w:semiHidden/>
    <w:locked/>
    <w:rsid w:val="0075108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locked/>
    <w:rsid w:val="000F155E"/>
    <w:pPr>
      <w:spacing w:before="240" w:after="0"/>
      <w:outlineLvl w:val="9"/>
    </w:pPr>
    <w:rPr>
      <w:rFonts w:asciiTheme="majorHAnsi" w:hAnsiTheme="majorHAnsi"/>
      <w:b w:val="0"/>
      <w:bCs w:val="0"/>
      <w:caps w:val="0"/>
      <w:color w:val="365F91" w:themeColor="accent1" w:themeShade="BF"/>
      <w:sz w:val="32"/>
      <w:szCs w:val="32"/>
    </w:rPr>
  </w:style>
  <w:style w:type="paragraph" w:customStyle="1" w:styleId="ESHeading3">
    <w:name w:val="ES_Heading 3"/>
    <w:basedOn w:val="Heading3"/>
    <w:qFormat/>
    <w:rsid w:val="00583B58"/>
    <w:pPr>
      <w:spacing w:before="160" w:after="60"/>
    </w:pPr>
  </w:style>
  <w:style w:type="paragraph" w:customStyle="1" w:styleId="ESBodyText">
    <w:name w:val="ES_Body Text"/>
    <w:basedOn w:val="Normal"/>
    <w:qFormat/>
    <w:rsid w:val="00D049D0"/>
  </w:style>
  <w:style w:type="paragraph" w:styleId="FootnoteText">
    <w:name w:val="footnote text"/>
    <w:basedOn w:val="Normal"/>
    <w:link w:val="FootnoteTextChar"/>
    <w:uiPriority w:val="99"/>
    <w:unhideWhenUsed/>
    <w:locked/>
    <w:rsid w:val="00271F77"/>
    <w:pPr>
      <w:spacing w:after="40" w:line="240" w:lineRule="auto"/>
    </w:pPr>
    <w:rPr>
      <w:sz w:val="11"/>
      <w:szCs w:val="11"/>
    </w:rPr>
  </w:style>
  <w:style w:type="paragraph" w:customStyle="1" w:styleId="NoteLevel1">
    <w:name w:val="Note Level 1"/>
    <w:basedOn w:val="Normal"/>
    <w:uiPriority w:val="99"/>
    <w:locked/>
    <w:rsid w:val="00895870"/>
    <w:pPr>
      <w:keepNext/>
      <w:numPr>
        <w:numId w:val="11"/>
      </w:numPr>
      <w:spacing w:before="120"/>
      <w:ind w:left="284"/>
      <w:contextualSpacing/>
      <w:outlineLvl w:val="0"/>
    </w:pPr>
  </w:style>
  <w:style w:type="paragraph" w:customStyle="1" w:styleId="NoteLevel2">
    <w:name w:val="Note Level 2"/>
    <w:basedOn w:val="Normal"/>
    <w:uiPriority w:val="99"/>
    <w:locked/>
    <w:rsid w:val="00D84C0F"/>
    <w:pPr>
      <w:keepNext/>
      <w:numPr>
        <w:ilvl w:val="1"/>
        <w:numId w:val="11"/>
      </w:numPr>
      <w:spacing w:after="0"/>
      <w:ind w:firstLine="164"/>
      <w:contextualSpacing/>
      <w:outlineLvl w:val="1"/>
    </w:pPr>
  </w:style>
  <w:style w:type="paragraph" w:customStyle="1" w:styleId="NoteLevel3">
    <w:name w:val="Note Level 3"/>
    <w:basedOn w:val="Normal"/>
    <w:uiPriority w:val="99"/>
    <w:locked/>
    <w:rsid w:val="00D84C0F"/>
    <w:pPr>
      <w:keepNext/>
      <w:numPr>
        <w:ilvl w:val="2"/>
        <w:numId w:val="11"/>
      </w:numPr>
      <w:spacing w:after="0"/>
      <w:ind w:firstLine="164"/>
      <w:contextualSpacing/>
      <w:outlineLvl w:val="2"/>
    </w:pPr>
  </w:style>
  <w:style w:type="paragraph" w:customStyle="1" w:styleId="NoteLevel4">
    <w:name w:val="Note Level 4"/>
    <w:basedOn w:val="Normal"/>
    <w:uiPriority w:val="99"/>
    <w:locked/>
    <w:rsid w:val="00D84C0F"/>
    <w:pPr>
      <w:keepNext/>
      <w:numPr>
        <w:ilvl w:val="3"/>
        <w:numId w:val="11"/>
      </w:numPr>
      <w:spacing w:after="0"/>
      <w:ind w:firstLine="164"/>
      <w:contextualSpacing/>
      <w:outlineLvl w:val="3"/>
    </w:pPr>
  </w:style>
  <w:style w:type="paragraph" w:customStyle="1" w:styleId="NoteLevel5">
    <w:name w:val="Note Level 5"/>
    <w:basedOn w:val="Normal"/>
    <w:uiPriority w:val="99"/>
    <w:locked/>
    <w:rsid w:val="00D84C0F"/>
    <w:pPr>
      <w:keepNext/>
      <w:numPr>
        <w:ilvl w:val="4"/>
        <w:numId w:val="11"/>
      </w:numPr>
      <w:spacing w:after="0"/>
      <w:ind w:left="1985" w:firstLine="164"/>
      <w:contextualSpacing/>
      <w:outlineLvl w:val="4"/>
    </w:pPr>
  </w:style>
  <w:style w:type="paragraph" w:customStyle="1" w:styleId="NoteLevel6">
    <w:name w:val="Note Level 6"/>
    <w:basedOn w:val="Normal"/>
    <w:uiPriority w:val="99"/>
    <w:locked/>
    <w:rsid w:val="00D84C0F"/>
    <w:pPr>
      <w:keepNext/>
      <w:numPr>
        <w:ilvl w:val="5"/>
        <w:numId w:val="11"/>
      </w:numPr>
      <w:spacing w:after="0"/>
      <w:ind w:firstLine="164"/>
      <w:contextualSpacing/>
      <w:outlineLvl w:val="5"/>
    </w:pPr>
  </w:style>
  <w:style w:type="paragraph" w:customStyle="1" w:styleId="NoteLevel7">
    <w:name w:val="Note Level 7"/>
    <w:basedOn w:val="NoteLevel5"/>
    <w:uiPriority w:val="99"/>
    <w:locked/>
    <w:rsid w:val="00D84C0F"/>
    <w:pPr>
      <w:ind w:left="3402" w:firstLine="0"/>
    </w:pPr>
  </w:style>
  <w:style w:type="character" w:customStyle="1" w:styleId="FootnoteTextChar">
    <w:name w:val="Footnote Text Char"/>
    <w:basedOn w:val="DefaultParagraphFont"/>
    <w:link w:val="FootnoteText"/>
    <w:uiPriority w:val="99"/>
    <w:rsid w:val="00271F77"/>
    <w:rPr>
      <w:rFonts w:ascii="Arial" w:hAnsi="Arial" w:cs="Arial"/>
      <w:sz w:val="11"/>
      <w:szCs w:val="11"/>
    </w:rPr>
  </w:style>
  <w:style w:type="paragraph" w:customStyle="1" w:styleId="NoteLevel8">
    <w:name w:val="Note Level 8"/>
    <w:basedOn w:val="Normal"/>
    <w:uiPriority w:val="99"/>
    <w:locked/>
    <w:rsid w:val="00D84C0F"/>
    <w:pPr>
      <w:keepNext/>
      <w:numPr>
        <w:ilvl w:val="7"/>
        <w:numId w:val="11"/>
      </w:numPr>
      <w:spacing w:after="0"/>
      <w:contextualSpacing/>
      <w:outlineLvl w:val="7"/>
    </w:pPr>
  </w:style>
  <w:style w:type="paragraph" w:customStyle="1" w:styleId="ESImageorGraphTitle">
    <w:name w:val="ES_Image or Graph Title"/>
    <w:basedOn w:val="ESHeading2"/>
    <w:qFormat/>
    <w:rsid w:val="006935C9"/>
    <w:pPr>
      <w:spacing w:before="320" w:after="200"/>
    </w:pPr>
    <w:rPr>
      <w:caps w:val="0"/>
      <w:sz w:val="18"/>
    </w:rPr>
  </w:style>
  <w:style w:type="character" w:styleId="FootnoteReference">
    <w:name w:val="footnote reference"/>
    <w:basedOn w:val="DefaultParagraphFont"/>
    <w:uiPriority w:val="99"/>
    <w:unhideWhenUsed/>
    <w:locked/>
    <w:rsid w:val="00271F77"/>
    <w:rPr>
      <w:color w:val="AF272F"/>
      <w:sz w:val="13"/>
      <w:szCs w:val="13"/>
      <w:vertAlign w:val="superscript"/>
    </w:rPr>
  </w:style>
  <w:style w:type="paragraph" w:customStyle="1" w:styleId="ESSubheading1">
    <w:name w:val="ES_Subheading 1"/>
    <w:basedOn w:val="ESIntroParagraph"/>
    <w:qFormat/>
    <w:rsid w:val="00D84C0F"/>
    <w:pPr>
      <w:ind w:left="-567"/>
    </w:pPr>
    <w:rPr>
      <w:color w:val="AF272F"/>
      <w:sz w:val="28"/>
    </w:rPr>
  </w:style>
  <w:style w:type="paragraph" w:customStyle="1" w:styleId="ESSubheading1White">
    <w:name w:val="ES_Subheading 1 (White)"/>
    <w:basedOn w:val="ESSubheading1"/>
    <w:qFormat/>
    <w:rsid w:val="00D84C0F"/>
    <w:rPr>
      <w:color w:val="FFFFFF" w:themeColor="background1"/>
    </w:rPr>
  </w:style>
  <w:style w:type="paragraph" w:customStyle="1" w:styleId="ESQuote">
    <w:name w:val="ES_Quote"/>
    <w:basedOn w:val="Quote"/>
    <w:qFormat/>
    <w:rsid w:val="0057654B"/>
    <w:pPr>
      <w:spacing w:before="320" w:after="200" w:line="320" w:lineRule="atLeast"/>
    </w:pPr>
    <w:rPr>
      <w:b w:val="0"/>
      <w:i/>
    </w:rPr>
  </w:style>
  <w:style w:type="paragraph" w:customStyle="1" w:styleId="ESQuoteAuthor">
    <w:name w:val="ES_Quote Author"/>
    <w:basedOn w:val="EndnoteText"/>
    <w:qFormat/>
    <w:rsid w:val="00D84C0F"/>
  </w:style>
  <w:style w:type="paragraph" w:customStyle="1" w:styleId="NoteLevel9">
    <w:name w:val="Note Level 9"/>
    <w:basedOn w:val="Normal"/>
    <w:uiPriority w:val="99"/>
    <w:locked/>
    <w:rsid w:val="00D84C0F"/>
    <w:pPr>
      <w:keepNext/>
      <w:numPr>
        <w:ilvl w:val="8"/>
        <w:numId w:val="11"/>
      </w:numPr>
      <w:spacing w:after="0"/>
      <w:contextualSpacing/>
      <w:outlineLvl w:val="8"/>
    </w:pPr>
  </w:style>
  <w:style w:type="character" w:customStyle="1" w:styleId="WHITE">
    <w:name w:val="WHITE"/>
    <w:basedOn w:val="DefaultParagraphFont"/>
    <w:uiPriority w:val="1"/>
    <w:qFormat/>
    <w:rsid w:val="000F4C22"/>
    <w:rPr>
      <w:color w:val="EEECE1" w:themeColor="background2"/>
    </w:rPr>
  </w:style>
  <w:style w:type="paragraph" w:styleId="TOC3">
    <w:name w:val="toc 3"/>
    <w:basedOn w:val="Normal"/>
    <w:next w:val="Normal"/>
    <w:autoRedefine/>
    <w:uiPriority w:val="39"/>
    <w:unhideWhenUsed/>
    <w:locked/>
    <w:rsid w:val="00895870"/>
    <w:pPr>
      <w:ind w:left="360"/>
    </w:pPr>
  </w:style>
  <w:style w:type="paragraph" w:styleId="TOC1">
    <w:name w:val="toc 1"/>
    <w:basedOn w:val="Normal"/>
    <w:next w:val="Normal"/>
    <w:autoRedefine/>
    <w:uiPriority w:val="39"/>
    <w:unhideWhenUsed/>
    <w:locked/>
    <w:rsid w:val="00895870"/>
    <w:pPr>
      <w:tabs>
        <w:tab w:val="right" w:leader="dot" w:pos="9346"/>
      </w:tabs>
      <w:spacing w:after="100"/>
    </w:pPr>
    <w:rPr>
      <w:b/>
      <w:color w:val="AF272F"/>
    </w:rPr>
  </w:style>
  <w:style w:type="paragraph" w:styleId="TOC2">
    <w:name w:val="toc 2"/>
    <w:basedOn w:val="Normal"/>
    <w:next w:val="Normal"/>
    <w:autoRedefine/>
    <w:uiPriority w:val="39"/>
    <w:unhideWhenUsed/>
    <w:locked/>
    <w:rsid w:val="00895870"/>
    <w:pPr>
      <w:spacing w:after="100"/>
      <w:ind w:left="180"/>
    </w:pPr>
    <w:rPr>
      <w:color w:val="AF272F"/>
    </w:rPr>
  </w:style>
  <w:style w:type="paragraph" w:styleId="TOC4">
    <w:name w:val="toc 4"/>
    <w:basedOn w:val="Normal"/>
    <w:next w:val="Normal"/>
    <w:autoRedefine/>
    <w:uiPriority w:val="39"/>
    <w:unhideWhenUsed/>
    <w:locked/>
    <w:rsid w:val="00895870"/>
    <w:pPr>
      <w:ind w:left="540"/>
    </w:pPr>
  </w:style>
  <w:style w:type="paragraph" w:styleId="TOC5">
    <w:name w:val="toc 5"/>
    <w:basedOn w:val="Normal"/>
    <w:next w:val="Normal"/>
    <w:autoRedefine/>
    <w:uiPriority w:val="39"/>
    <w:unhideWhenUsed/>
    <w:locked/>
    <w:rsid w:val="00895870"/>
    <w:pPr>
      <w:ind w:left="720"/>
    </w:pPr>
  </w:style>
  <w:style w:type="paragraph" w:styleId="TOC6">
    <w:name w:val="toc 6"/>
    <w:basedOn w:val="Normal"/>
    <w:next w:val="Normal"/>
    <w:autoRedefine/>
    <w:uiPriority w:val="39"/>
    <w:unhideWhenUsed/>
    <w:locked/>
    <w:rsid w:val="00895870"/>
    <w:pPr>
      <w:ind w:left="900"/>
    </w:pPr>
  </w:style>
  <w:style w:type="paragraph" w:styleId="TOC7">
    <w:name w:val="toc 7"/>
    <w:basedOn w:val="Normal"/>
    <w:next w:val="Normal"/>
    <w:autoRedefine/>
    <w:uiPriority w:val="39"/>
    <w:unhideWhenUsed/>
    <w:locked/>
    <w:rsid w:val="00895870"/>
    <w:pPr>
      <w:ind w:left="1080"/>
    </w:pPr>
  </w:style>
  <w:style w:type="paragraph" w:styleId="TOC8">
    <w:name w:val="toc 8"/>
    <w:basedOn w:val="Normal"/>
    <w:next w:val="Normal"/>
    <w:autoRedefine/>
    <w:uiPriority w:val="39"/>
    <w:unhideWhenUsed/>
    <w:locked/>
    <w:rsid w:val="00895870"/>
    <w:pPr>
      <w:ind w:left="1260"/>
    </w:pPr>
  </w:style>
  <w:style w:type="paragraph" w:styleId="TOC9">
    <w:name w:val="toc 9"/>
    <w:basedOn w:val="Normal"/>
    <w:next w:val="Normal"/>
    <w:autoRedefine/>
    <w:uiPriority w:val="39"/>
    <w:unhideWhenUsed/>
    <w:locked/>
    <w:rsid w:val="00895870"/>
    <w:pPr>
      <w:ind w:left="1440"/>
    </w:pPr>
  </w:style>
  <w:style w:type="character" w:styleId="EndnoteReference">
    <w:name w:val="endnote reference"/>
    <w:uiPriority w:val="99"/>
    <w:unhideWhenUsed/>
    <w:locked/>
    <w:rsid w:val="00271F77"/>
    <w:rPr>
      <w:b w:val="0"/>
      <w:i w:val="0"/>
      <w:sz w:val="15"/>
      <w:szCs w:val="15"/>
      <w:lang w:val="en-AU"/>
    </w:rPr>
  </w:style>
  <w:style w:type="paragraph" w:customStyle="1" w:styleId="ESDisclaimer">
    <w:name w:val="ES_Disclaimer"/>
    <w:basedOn w:val="Normal"/>
    <w:qFormat/>
    <w:rsid w:val="00271F77"/>
    <w:pPr>
      <w:spacing w:after="40" w:line="240" w:lineRule="auto"/>
    </w:pPr>
    <w:rPr>
      <w:rFonts w:cstheme="minorHAnsi"/>
      <w:color w:val="7F7F7F" w:themeColor="text1" w:themeTint="80"/>
      <w:sz w:val="13"/>
      <w:szCs w:val="13"/>
    </w:rPr>
  </w:style>
  <w:style w:type="table" w:customStyle="1" w:styleId="TableGrid1">
    <w:name w:val="Table Grid1"/>
    <w:basedOn w:val="TableNormal"/>
    <w:next w:val="TableGrid"/>
    <w:uiPriority w:val="39"/>
    <w:rsid w:val="00F97B56"/>
    <w:rPr>
      <w:rFonts w:eastAsia="Arial"/>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locked/>
    <w:rsid w:val="00F9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locked/>
    <w:rsid w:val="00F97B56"/>
    <w:pPr>
      <w:ind w:left="720"/>
      <w:contextualSpacing/>
    </w:pPr>
  </w:style>
  <w:style w:type="paragraph" w:customStyle="1" w:styleId="ESWhiteTableHeading">
    <w:name w:val="ES_White Table Heading"/>
    <w:basedOn w:val="Normal"/>
    <w:qFormat/>
    <w:rsid w:val="00F8548F"/>
    <w:rPr>
      <w:rFonts w:eastAsia="Arial"/>
      <w:b/>
      <w:color w:val="FFFFFF" w:themeColor="background1"/>
      <w:sz w:val="20"/>
      <w:szCs w:val="20"/>
      <w:lang w:val="en-AU"/>
    </w:rPr>
  </w:style>
  <w:style w:type="paragraph" w:customStyle="1" w:styleId="ESBulletsinTable">
    <w:name w:val="ES_Bullets in Table"/>
    <w:basedOn w:val="ListParagraph"/>
    <w:qFormat/>
    <w:rsid w:val="00226B71"/>
    <w:pPr>
      <w:numPr>
        <w:numId w:val="17"/>
      </w:numPr>
      <w:spacing w:after="80" w:line="240" w:lineRule="auto"/>
    </w:pPr>
    <w:rPr>
      <w:rFonts w:eastAsia="Arial" w:cs="Times New Roman"/>
      <w:szCs w:val="22"/>
      <w:lang w:val="en-AU"/>
    </w:rPr>
  </w:style>
  <w:style w:type="paragraph" w:customStyle="1" w:styleId="ESBulletsinTableLevel2">
    <w:name w:val="ES_Bullets in Table Level 2"/>
    <w:basedOn w:val="ListParagraph"/>
    <w:qFormat/>
    <w:rsid w:val="00226B71"/>
    <w:pPr>
      <w:numPr>
        <w:ilvl w:val="1"/>
        <w:numId w:val="17"/>
      </w:numPr>
      <w:spacing w:after="80" w:line="240" w:lineRule="auto"/>
      <w:ind w:left="592"/>
    </w:pPr>
    <w:rPr>
      <w:rFonts w:eastAsia="Arial" w:cs="Times New Roman"/>
      <w:szCs w:val="22"/>
      <w:lang w:val="en-AU"/>
    </w:rPr>
  </w:style>
  <w:style w:type="character" w:customStyle="1" w:styleId="Red">
    <w:name w:val="Red"/>
    <w:basedOn w:val="DefaultParagraphFont"/>
    <w:uiPriority w:val="1"/>
    <w:qFormat/>
    <w:rsid w:val="007B2B29"/>
    <w:rPr>
      <w:color w:val="FFFFFF" w:themeColor="background1"/>
    </w:rPr>
  </w:style>
  <w:style w:type="character" w:styleId="PageNumber">
    <w:name w:val="page number"/>
    <w:basedOn w:val="DefaultParagraphFont"/>
    <w:uiPriority w:val="99"/>
    <w:semiHidden/>
    <w:unhideWhenUsed/>
    <w:locked/>
    <w:rsid w:val="007B2B29"/>
  </w:style>
  <w:style w:type="paragraph" w:styleId="NormalWeb">
    <w:name w:val="Normal (Web)"/>
    <w:basedOn w:val="Normal"/>
    <w:uiPriority w:val="99"/>
    <w:semiHidden/>
    <w:unhideWhenUsed/>
    <w:locked/>
    <w:rsid w:val="00C259B6"/>
    <w:pPr>
      <w:spacing w:before="100" w:beforeAutospacing="1" w:after="100" w:afterAutospacing="1" w:line="240" w:lineRule="auto"/>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3E4341"/>
    <w:rPr>
      <w:rFonts w:asciiTheme="majorHAnsi" w:eastAsiaTheme="majorEastAsia" w:hAnsiTheme="majorHAnsi" w:cstheme="majorBidi"/>
      <w:i/>
      <w:iCs/>
      <w:color w:val="365F91" w:themeColor="accent1" w:themeShade="BF"/>
      <w:sz w:val="18"/>
      <w:szCs w:val="18"/>
    </w:rPr>
  </w:style>
  <w:style w:type="character" w:styleId="Hyperlink">
    <w:name w:val="Hyperlink"/>
    <w:basedOn w:val="DefaultParagraphFont"/>
    <w:uiPriority w:val="99"/>
    <w:semiHidden/>
    <w:unhideWhenUsed/>
    <w:locked/>
    <w:rsid w:val="00973D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4.xml" /><Relationship Id="rId22" Type="http://schemas.openxmlformats.org/officeDocument/2006/relationships/header" Target="header9.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footer4.xml.rels>&#65279;<?xml version="1.0" encoding="utf-8" standalone="yes"?><Relationships xmlns="http://schemas.openxmlformats.org/package/2006/relationships"><Relationship Id="rId1" Type="http://schemas.openxmlformats.org/officeDocument/2006/relationships/image" Target="media/image3.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5.xml.rels>&#65279;<?xml version="1.0" encoding="utf-8" standalone="yes"?><Relationships xmlns="http://schemas.openxmlformats.org/package/2006/relationships"><Relationship Id="rId1" Type="http://schemas.openxmlformats.org/officeDocument/2006/relationships/image" Target="media/image2.png" /></Relationships>
</file>

<file path=word/_rels/header8.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36B5F-D17E-4173-90ED-A00880D611F9}">
  <ds:schemaRefs>
    <ds:schemaRef ds:uri="http://schemas.openxmlformats.org/officeDocument/2006/bibliography"/>
  </ds:schemaRefs>
</ds:datastoreItem>
</file>

<file path=customXml/itemProps2.xml><?xml version="1.0" encoding="utf-8"?>
<ds:datastoreItem xmlns:ds="http://schemas.openxmlformats.org/officeDocument/2006/customXml" ds:itemID="{A78D826A-78A9-4A6C-8034-99F2E8A12FB7}">
  <ds:schemaRefs>
    <ds:schemaRef ds:uri="http://schemas.microsoft.com/sharepoint/events"/>
  </ds:schemaRefs>
</ds:datastoreItem>
</file>

<file path=customXml/itemProps3.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5.xml><?xml version="1.0" encoding="utf-8"?>
<ds:datastoreItem xmlns:ds="http://schemas.openxmlformats.org/officeDocument/2006/customXml" ds:itemID="{43139D35-E501-4384-8888-880DF99BD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2318</TotalTime>
  <Pages>3</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 Maniatakis</dc:creator>
  <cp:lastModifiedBy>Reshma Karunakaran</cp:lastModifiedBy>
  <cp:revision>96</cp:revision>
  <dcterms:created xsi:type="dcterms:W3CDTF">2017-09-11T05:00:00Z</dcterms:created>
  <dcterms:modified xsi:type="dcterms:W3CDTF">2026-03-10T00:34:00Z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